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B84D4" w14:textId="77777777" w:rsidR="00CE21BD" w:rsidRPr="00FB1265" w:rsidRDefault="00CE21BD" w:rsidP="00CE21BD">
      <w:pPr>
        <w:pStyle w:val="NoSpacing"/>
        <w:rPr>
          <w:b/>
          <w:bCs/>
        </w:rPr>
      </w:pPr>
      <w:r w:rsidRPr="00FB1265">
        <w:rPr>
          <w:b/>
          <w:bCs/>
        </w:rPr>
        <w:t>WRITTEN BY:</w:t>
      </w:r>
    </w:p>
    <w:p w14:paraId="5B49308A" w14:textId="77777777" w:rsidR="00FB1265" w:rsidRDefault="00FB1265" w:rsidP="00346974">
      <w:pPr>
        <w:pStyle w:val="NoSpacing"/>
        <w:numPr>
          <w:ilvl w:val="0"/>
          <w:numId w:val="17"/>
        </w:numPr>
      </w:pPr>
      <w:r>
        <w:t xml:space="preserve">Ancient tradition identifies the prophet Jeremiah as the author of 1 and 2 Kings. Today, many scholars believe that 1 and 2 Kings are the concluding part of the Deuteronomistic History Deuteronomistic history refers to the narrative contained in the books of Joshua, Judges, 1 and 2 Samuel, 1 and 2 Kings. </w:t>
      </w:r>
    </w:p>
    <w:p w14:paraId="75B24CB9" w14:textId="1A6EA885" w:rsidR="0078292C" w:rsidRDefault="0078292C" w:rsidP="00346974">
      <w:pPr>
        <w:pStyle w:val="NoSpacing"/>
        <w:numPr>
          <w:ilvl w:val="0"/>
          <w:numId w:val="17"/>
        </w:numPr>
      </w:pPr>
      <w:r w:rsidRPr="00CE21BD">
        <w:t xml:space="preserve">The author of this book is heavily influenced by Deuteronomy. Remember that in Deuteronomy there is focus on blessings and curses. </w:t>
      </w:r>
      <w:r w:rsidR="00F03001">
        <w:t>W</w:t>
      </w:r>
      <w:r w:rsidRPr="00CE21BD">
        <w:t xml:space="preserve">hen bad things happen in 1 Kings it is because the people stopped following God and started following other gods. </w:t>
      </w:r>
    </w:p>
    <w:p w14:paraId="187C866E" w14:textId="0C959293" w:rsidR="00FB1265" w:rsidRPr="00FB1265" w:rsidRDefault="00FB1265" w:rsidP="00FB1265">
      <w:pPr>
        <w:pStyle w:val="NoSpacing"/>
        <w:rPr>
          <w:b/>
          <w:bCs/>
        </w:rPr>
      </w:pPr>
      <w:r w:rsidRPr="00FB1265">
        <w:rPr>
          <w:b/>
          <w:bCs/>
        </w:rPr>
        <w:t>WRITTEN WHEN:</w:t>
      </w:r>
    </w:p>
    <w:p w14:paraId="5DBB19B7" w14:textId="1B8D93D2" w:rsidR="00FB1265" w:rsidRDefault="00FB1265" w:rsidP="00346974">
      <w:pPr>
        <w:pStyle w:val="NoSpacing"/>
        <w:numPr>
          <w:ilvl w:val="0"/>
          <w:numId w:val="18"/>
        </w:numPr>
      </w:pPr>
      <w:r w:rsidRPr="00FB1265">
        <w:t>The final event recorded in the books of Kings occurred in 561 B.C.E. Since the return from Babylon (538 B.C.E.) is not recorded, one assumes that–as part of the Deuteronomistic History–1 Kings reached its final form sometime between these dates during the Babylonian exile.</w:t>
      </w:r>
    </w:p>
    <w:p w14:paraId="5F8BE0C0" w14:textId="4542E055" w:rsidR="00FB1265" w:rsidRPr="00FB1265" w:rsidRDefault="00FB1265" w:rsidP="00FB1265">
      <w:pPr>
        <w:pStyle w:val="NoSpacing"/>
        <w:rPr>
          <w:b/>
          <w:bCs/>
        </w:rPr>
      </w:pPr>
      <w:r w:rsidRPr="00FB1265">
        <w:rPr>
          <w:b/>
          <w:bCs/>
        </w:rPr>
        <w:t>KEEP IN MIND WHEN READING KINGS AND CHRONICLES:</w:t>
      </w:r>
    </w:p>
    <w:p w14:paraId="1FA28DA4" w14:textId="5D44DFAB" w:rsidR="00FB1265" w:rsidRPr="00CE21BD" w:rsidRDefault="00FB1265" w:rsidP="00346974">
      <w:pPr>
        <w:pStyle w:val="NoSpacing"/>
        <w:numPr>
          <w:ilvl w:val="0"/>
          <w:numId w:val="18"/>
        </w:numPr>
      </w:pPr>
      <w:r>
        <w:t xml:space="preserve">“Both Chronicles and Kings should be read as </w:t>
      </w:r>
      <w:r w:rsidRPr="00FB1265">
        <w:rPr>
          <w:b/>
          <w:bCs/>
          <w:i/>
          <w:iCs/>
        </w:rPr>
        <w:t>theological</w:t>
      </w:r>
      <w:r>
        <w:t xml:space="preserve">, rather than </w:t>
      </w:r>
      <w:r w:rsidRPr="00FB1265">
        <w:rPr>
          <w:b/>
          <w:bCs/>
          <w:i/>
          <w:iCs/>
        </w:rPr>
        <w:t>historical</w:t>
      </w:r>
      <w:r>
        <w:t>, presentations of the years of the monarchy. Kings is designed to demonstrate the reasons for the fall of the northern kingdom of Israel in 722/721 B.C.E. and Judah’s exile to Babylon in 587/586 B.C.E.” (</w:t>
      </w:r>
      <w:proofErr w:type="spellStart"/>
      <w:r w:rsidRPr="00FB1265">
        <w:t>Throntveit</w:t>
      </w:r>
      <w:proofErr w:type="spellEnd"/>
      <w:r>
        <w:t>)</w:t>
      </w:r>
    </w:p>
    <w:p w14:paraId="543649F2" w14:textId="77777777" w:rsidR="0078292C" w:rsidRPr="00CE21BD" w:rsidRDefault="0078292C" w:rsidP="00CE21BD">
      <w:pPr>
        <w:pStyle w:val="NoSpacing"/>
      </w:pPr>
      <w:r w:rsidRPr="00CE21BD">
        <w:rPr>
          <w:b/>
          <w:bCs/>
        </w:rPr>
        <w:t>A Tale of Two Kingdoms</w:t>
      </w:r>
      <w:r w:rsidRPr="00CE21BD">
        <w:t>:</w:t>
      </w:r>
    </w:p>
    <w:p w14:paraId="41BFA2C1" w14:textId="77777777" w:rsidR="0078292C" w:rsidRPr="00CE21BD" w:rsidRDefault="0078292C" w:rsidP="00CE21BD">
      <w:pPr>
        <w:pStyle w:val="NoSpacing"/>
        <w:numPr>
          <w:ilvl w:val="0"/>
          <w:numId w:val="5"/>
        </w:numPr>
      </w:pPr>
      <w:r w:rsidRPr="00CE21BD">
        <w:t>Israel (Northern Kingdom)</w:t>
      </w:r>
    </w:p>
    <w:p w14:paraId="6FD397C8" w14:textId="77777777" w:rsidR="0078292C" w:rsidRDefault="0078292C" w:rsidP="00CE21BD">
      <w:pPr>
        <w:pStyle w:val="NoSpacing"/>
        <w:numPr>
          <w:ilvl w:val="0"/>
          <w:numId w:val="5"/>
        </w:numPr>
      </w:pPr>
      <w:r w:rsidRPr="00CE21BD">
        <w:t>Judah (Southern Kingdom)</w:t>
      </w:r>
    </w:p>
    <w:p w14:paraId="6C1D55A5" w14:textId="1F03C51F" w:rsidR="00D63E95" w:rsidRPr="00843FFB" w:rsidRDefault="00D63E95" w:rsidP="00D63E95">
      <w:pPr>
        <w:pStyle w:val="NoSpacing"/>
        <w:rPr>
          <w:b/>
          <w:bCs/>
          <w:u w:val="single"/>
        </w:rPr>
      </w:pPr>
      <w:r w:rsidRPr="00843FFB">
        <w:rPr>
          <w:b/>
          <w:bCs/>
          <w:u w:val="single"/>
        </w:rPr>
        <w:t>OUTLINE</w:t>
      </w:r>
    </w:p>
    <w:p w14:paraId="24EC35C8" w14:textId="015E127A" w:rsidR="00D63E95" w:rsidRDefault="00D63E95" w:rsidP="00843FFB">
      <w:pPr>
        <w:pStyle w:val="NoSpacing"/>
        <w:numPr>
          <w:ilvl w:val="0"/>
          <w:numId w:val="11"/>
        </w:numPr>
      </w:pPr>
      <w:r>
        <w:t>Solomon (1 Kings 1:1–11:43)</w:t>
      </w:r>
    </w:p>
    <w:p w14:paraId="0A838FCD" w14:textId="42F4F26C" w:rsidR="00D63E95" w:rsidRDefault="00D63E95" w:rsidP="00843FFB">
      <w:pPr>
        <w:pStyle w:val="NoSpacing"/>
        <w:numPr>
          <w:ilvl w:val="0"/>
          <w:numId w:val="11"/>
        </w:numPr>
      </w:pPr>
      <w:r>
        <w:t>Rebellion Splits the Nation (1 Kings 12:1–16:28)</w:t>
      </w:r>
    </w:p>
    <w:p w14:paraId="682B2505" w14:textId="664E4A94" w:rsidR="00CE21BD" w:rsidRDefault="00D63E95" w:rsidP="00CE21BD">
      <w:pPr>
        <w:pStyle w:val="NoSpacing"/>
        <w:numPr>
          <w:ilvl w:val="0"/>
          <w:numId w:val="11"/>
        </w:numPr>
      </w:pPr>
      <w:r>
        <w:t>Elijah and the Prophets Confront Ahab</w:t>
      </w:r>
      <w:r w:rsidR="00843FFB">
        <w:t xml:space="preserve"> </w:t>
      </w:r>
      <w:r>
        <w:t>(1 Kings 16:29–22:53)</w:t>
      </w:r>
    </w:p>
    <w:p w14:paraId="1C4DAAC0" w14:textId="6D0FEBB4" w:rsidR="00CE21BD" w:rsidRPr="00F03001" w:rsidRDefault="00CE21BD" w:rsidP="00CE21BD">
      <w:pPr>
        <w:pStyle w:val="NoSpacing"/>
        <w:rPr>
          <w:b/>
          <w:bCs/>
        </w:rPr>
      </w:pPr>
      <w:r w:rsidRPr="00F03001">
        <w:rPr>
          <w:b/>
          <w:bCs/>
        </w:rPr>
        <w:t>I.</w:t>
      </w:r>
      <w:r w:rsidRPr="00F03001">
        <w:rPr>
          <w:b/>
          <w:bCs/>
        </w:rPr>
        <w:tab/>
      </w:r>
      <w:r w:rsidR="00843FFB">
        <w:rPr>
          <w:b/>
          <w:bCs/>
        </w:rPr>
        <w:t>Solomon</w:t>
      </w:r>
    </w:p>
    <w:p w14:paraId="007E9489" w14:textId="6224FB0D" w:rsidR="00452EF2" w:rsidRDefault="00CE21BD" w:rsidP="00CE21BD">
      <w:pPr>
        <w:pStyle w:val="NoSpacing"/>
      </w:pPr>
      <w:r>
        <w:t>David is now very old. And cold</w:t>
      </w:r>
      <w:r w:rsidR="00452EF2">
        <w:t xml:space="preserve"> (OR “keeping warm” dealt with sexual arousal)</w:t>
      </w:r>
      <w:r>
        <w:t>!</w:t>
      </w:r>
      <w:r w:rsidR="00452EF2">
        <w:t xml:space="preserve">                     He ruled for 40 years, beginning at age 30 and dying at 70 (either 1005-965 or 1000-960 BCE)</w:t>
      </w:r>
    </w:p>
    <w:p w14:paraId="0CAB78DC" w14:textId="2F8C9785" w:rsidR="00CE21BD" w:rsidRDefault="00CE21BD" w:rsidP="00CE21BD">
      <w:pPr>
        <w:pStyle w:val="NoSpacing"/>
      </w:pPr>
      <w:r w:rsidRPr="00CE21BD">
        <w:rPr>
          <w:b/>
          <w:bCs/>
        </w:rPr>
        <w:t>Abishag</w:t>
      </w:r>
      <w:r>
        <w:t>- companion</w:t>
      </w:r>
    </w:p>
    <w:p w14:paraId="79139F48" w14:textId="2DAC56B6" w:rsidR="00662E2A" w:rsidRDefault="00662E2A" w:rsidP="00CE21BD">
      <w:pPr>
        <w:pStyle w:val="NoSpacing"/>
      </w:pPr>
      <w:r w:rsidRPr="00662E2A">
        <w:rPr>
          <w:b/>
          <w:bCs/>
          <w:i/>
          <w:iCs/>
        </w:rPr>
        <w:lastRenderedPageBreak/>
        <w:t>Christensen on Abishag</w:t>
      </w:r>
      <w:r>
        <w:t>: “</w:t>
      </w:r>
      <w:r w:rsidRPr="00662E2A">
        <w:t xml:space="preserve">Abishag’s relationship to David is defined by her function in court. Commentators have alternatively suggested she was David’s nurse, his concubine, or his queen. The issue is whether Abishag’s job was </w:t>
      </w:r>
      <w:r w:rsidRPr="00662E2A">
        <w:rPr>
          <w:u w:val="single"/>
        </w:rPr>
        <w:t>to cure or to test David</w:t>
      </w:r>
      <w:r w:rsidRPr="00662E2A">
        <w:t>. If Abishag’s primary task was to cure him, then she is best likened to a nurse. Her actions constitute a kind of “</w:t>
      </w:r>
      <w:proofErr w:type="spellStart"/>
      <w:r w:rsidRPr="00662E2A">
        <w:t>contactual</w:t>
      </w:r>
      <w:proofErr w:type="spellEnd"/>
      <w:r w:rsidRPr="00662E2A">
        <w:t xml:space="preserve"> medicine” whereby the warmth of a beautiful young maiden was imbued—through contact—to an aging body</w:t>
      </w:r>
      <w:r>
        <w:t>…</w:t>
      </w:r>
      <w:r w:rsidRPr="00662E2A">
        <w:t>If, however, the issue was not David’s health but his ability to rule, then Abishag’s presence is better explained in terms of a test. The king’s authority (and the nation’s future) corresponded to his virility. Abishag’s presence “tests” the elderly David’s sexual prowess. His failure to “know” Abishag indicates his failure as king and precipitates the fight for succession which follows. If Abishag’s function was to test David’s virility, then it is possible she was admitted into David’s harem either as concubine or wife.</w:t>
      </w:r>
      <w:r>
        <w:t>”</w:t>
      </w:r>
    </w:p>
    <w:p w14:paraId="5CBE9036" w14:textId="0BECD2BB" w:rsidR="00662E2A" w:rsidRDefault="00CE21BD" w:rsidP="00CE21BD">
      <w:pPr>
        <w:pStyle w:val="NoSpacing"/>
      </w:pPr>
      <w:r w:rsidRPr="00CE21BD">
        <w:rPr>
          <w:b/>
          <w:bCs/>
        </w:rPr>
        <w:t>Adonijah</w:t>
      </w:r>
      <w:r>
        <w:t>-</w:t>
      </w:r>
      <w:r w:rsidR="00826042">
        <w:t xml:space="preserve"> “my lord is Jah (reference to the divine name)”</w:t>
      </w:r>
      <w:r w:rsidR="00346974">
        <w:t>- The</w:t>
      </w:r>
      <w:r w:rsidRPr="00CE21BD">
        <w:t xml:space="preserve"> fourth son of David by his wife </w:t>
      </w:r>
      <w:r w:rsidRPr="00CE21BD">
        <w:rPr>
          <w:b/>
          <w:bCs/>
        </w:rPr>
        <w:t>Haggith</w:t>
      </w:r>
      <w:r w:rsidRPr="00CE21BD">
        <w:t xml:space="preserve"> in Hebron, while David was king of Judah (2 Sam 3:4; 1 Chr 3:1–2); and heir apparent to the throne at the time of Solomon’s accession. </w:t>
      </w:r>
    </w:p>
    <w:p w14:paraId="69B41E25" w14:textId="77777777" w:rsidR="00346974" w:rsidRDefault="00346974" w:rsidP="00CE21BD">
      <w:pPr>
        <w:pStyle w:val="NoSpacing"/>
      </w:pPr>
    </w:p>
    <w:tbl>
      <w:tblPr>
        <w:tblStyle w:val="TableGrid"/>
        <w:tblW w:w="0" w:type="auto"/>
        <w:jc w:val="center"/>
        <w:tblLook w:val="04A0" w:firstRow="1" w:lastRow="0" w:firstColumn="1" w:lastColumn="0" w:noHBand="0" w:noVBand="1"/>
      </w:tblPr>
      <w:tblGrid>
        <w:gridCol w:w="1368"/>
        <w:gridCol w:w="3591"/>
      </w:tblGrid>
      <w:tr w:rsidR="00662E2A" w:rsidRPr="00346974" w14:paraId="27385868" w14:textId="77777777" w:rsidTr="00826042">
        <w:trPr>
          <w:jc w:val="center"/>
        </w:trPr>
        <w:tc>
          <w:tcPr>
            <w:tcW w:w="1368" w:type="dxa"/>
          </w:tcPr>
          <w:p w14:paraId="678E71F6" w14:textId="44170960" w:rsidR="00662E2A" w:rsidRPr="00346974" w:rsidRDefault="00662E2A" w:rsidP="00662E2A">
            <w:pPr>
              <w:pStyle w:val="NoSpacing"/>
              <w:jc w:val="center"/>
              <w:rPr>
                <w:b/>
                <w:bCs/>
                <w:sz w:val="22"/>
              </w:rPr>
            </w:pPr>
            <w:r w:rsidRPr="00346974">
              <w:rPr>
                <w:b/>
                <w:bCs/>
                <w:sz w:val="22"/>
              </w:rPr>
              <w:t>A-Team</w:t>
            </w:r>
          </w:p>
        </w:tc>
        <w:tc>
          <w:tcPr>
            <w:tcW w:w="3591" w:type="dxa"/>
          </w:tcPr>
          <w:p w14:paraId="5EB6D5E3" w14:textId="44DE9965" w:rsidR="00662E2A" w:rsidRPr="00346974" w:rsidRDefault="00346974" w:rsidP="00662E2A">
            <w:pPr>
              <w:pStyle w:val="NoSpacing"/>
              <w:jc w:val="center"/>
              <w:rPr>
                <w:b/>
                <w:bCs/>
                <w:sz w:val="22"/>
              </w:rPr>
            </w:pPr>
            <w:r w:rsidRPr="00346974">
              <w:rPr>
                <w:b/>
                <w:bCs/>
                <w:sz w:val="22"/>
              </w:rPr>
              <w:t>S</w:t>
            </w:r>
            <w:r w:rsidR="00662E2A" w:rsidRPr="00346974">
              <w:rPr>
                <w:b/>
                <w:bCs/>
                <w:sz w:val="22"/>
              </w:rPr>
              <w:t>-Team</w:t>
            </w:r>
          </w:p>
        </w:tc>
      </w:tr>
      <w:tr w:rsidR="00662E2A" w:rsidRPr="00346974" w14:paraId="31E25C0D" w14:textId="77777777" w:rsidTr="00826042">
        <w:trPr>
          <w:jc w:val="center"/>
        </w:trPr>
        <w:tc>
          <w:tcPr>
            <w:tcW w:w="1368" w:type="dxa"/>
          </w:tcPr>
          <w:p w14:paraId="37A459AF" w14:textId="1D2A04C1" w:rsidR="00662E2A" w:rsidRPr="00346974" w:rsidRDefault="00662E2A" w:rsidP="00662E2A">
            <w:pPr>
              <w:pStyle w:val="NoSpacing"/>
              <w:jc w:val="center"/>
              <w:rPr>
                <w:sz w:val="22"/>
              </w:rPr>
            </w:pPr>
            <w:r w:rsidRPr="00346974">
              <w:rPr>
                <w:sz w:val="22"/>
              </w:rPr>
              <w:t>Joab</w:t>
            </w:r>
          </w:p>
        </w:tc>
        <w:tc>
          <w:tcPr>
            <w:tcW w:w="3591" w:type="dxa"/>
          </w:tcPr>
          <w:p w14:paraId="3711687D" w14:textId="7BC7FD3B" w:rsidR="00662E2A" w:rsidRPr="00346974" w:rsidRDefault="00662E2A" w:rsidP="00662E2A">
            <w:pPr>
              <w:pStyle w:val="NoSpacing"/>
              <w:jc w:val="center"/>
              <w:rPr>
                <w:sz w:val="22"/>
              </w:rPr>
            </w:pPr>
            <w:r w:rsidRPr="00346974">
              <w:rPr>
                <w:sz w:val="22"/>
              </w:rPr>
              <w:t>Zadok</w:t>
            </w:r>
          </w:p>
        </w:tc>
      </w:tr>
      <w:tr w:rsidR="00662E2A" w:rsidRPr="00346974" w14:paraId="4F6E0A9B" w14:textId="77777777" w:rsidTr="00826042">
        <w:trPr>
          <w:jc w:val="center"/>
        </w:trPr>
        <w:tc>
          <w:tcPr>
            <w:tcW w:w="1368" w:type="dxa"/>
          </w:tcPr>
          <w:p w14:paraId="53F233FD" w14:textId="65749A20" w:rsidR="00662E2A" w:rsidRPr="00346974" w:rsidRDefault="00662E2A" w:rsidP="00662E2A">
            <w:pPr>
              <w:pStyle w:val="NoSpacing"/>
              <w:jc w:val="center"/>
              <w:rPr>
                <w:sz w:val="22"/>
              </w:rPr>
            </w:pPr>
            <w:r w:rsidRPr="00346974">
              <w:rPr>
                <w:sz w:val="22"/>
              </w:rPr>
              <w:t>Abiathar</w:t>
            </w:r>
          </w:p>
        </w:tc>
        <w:tc>
          <w:tcPr>
            <w:tcW w:w="3591" w:type="dxa"/>
          </w:tcPr>
          <w:p w14:paraId="0DC165E0" w14:textId="7A30E021" w:rsidR="00662E2A" w:rsidRPr="00346974" w:rsidRDefault="00662E2A" w:rsidP="00662E2A">
            <w:pPr>
              <w:pStyle w:val="NoSpacing"/>
              <w:jc w:val="center"/>
              <w:rPr>
                <w:sz w:val="22"/>
              </w:rPr>
            </w:pPr>
            <w:proofErr w:type="spellStart"/>
            <w:r w:rsidRPr="00346974">
              <w:rPr>
                <w:sz w:val="22"/>
              </w:rPr>
              <w:t>Benaiah</w:t>
            </w:r>
            <w:proofErr w:type="spellEnd"/>
          </w:p>
        </w:tc>
      </w:tr>
      <w:tr w:rsidR="00662E2A" w:rsidRPr="00346974" w14:paraId="37A62106" w14:textId="77777777" w:rsidTr="00826042">
        <w:trPr>
          <w:jc w:val="center"/>
        </w:trPr>
        <w:tc>
          <w:tcPr>
            <w:tcW w:w="1368" w:type="dxa"/>
          </w:tcPr>
          <w:p w14:paraId="4B99BA0B" w14:textId="77777777" w:rsidR="00662E2A" w:rsidRPr="00346974" w:rsidRDefault="00662E2A" w:rsidP="00662E2A">
            <w:pPr>
              <w:pStyle w:val="NoSpacing"/>
              <w:jc w:val="center"/>
              <w:rPr>
                <w:sz w:val="22"/>
              </w:rPr>
            </w:pPr>
          </w:p>
        </w:tc>
        <w:tc>
          <w:tcPr>
            <w:tcW w:w="3591" w:type="dxa"/>
          </w:tcPr>
          <w:p w14:paraId="63831AC0" w14:textId="6FE00350" w:rsidR="00662E2A" w:rsidRPr="00346974" w:rsidRDefault="00662E2A" w:rsidP="00662E2A">
            <w:pPr>
              <w:pStyle w:val="NoSpacing"/>
              <w:jc w:val="center"/>
              <w:rPr>
                <w:sz w:val="22"/>
              </w:rPr>
            </w:pPr>
            <w:r w:rsidRPr="00346974">
              <w:rPr>
                <w:sz w:val="22"/>
              </w:rPr>
              <w:t>Nathan</w:t>
            </w:r>
          </w:p>
        </w:tc>
      </w:tr>
      <w:tr w:rsidR="00662E2A" w:rsidRPr="00346974" w14:paraId="65071564" w14:textId="77777777" w:rsidTr="00826042">
        <w:trPr>
          <w:jc w:val="center"/>
        </w:trPr>
        <w:tc>
          <w:tcPr>
            <w:tcW w:w="1368" w:type="dxa"/>
          </w:tcPr>
          <w:p w14:paraId="7B4DC4E2" w14:textId="77777777" w:rsidR="00662E2A" w:rsidRPr="00346974" w:rsidRDefault="00662E2A" w:rsidP="00662E2A">
            <w:pPr>
              <w:pStyle w:val="NoSpacing"/>
              <w:jc w:val="center"/>
              <w:rPr>
                <w:sz w:val="22"/>
              </w:rPr>
            </w:pPr>
          </w:p>
        </w:tc>
        <w:tc>
          <w:tcPr>
            <w:tcW w:w="3591" w:type="dxa"/>
          </w:tcPr>
          <w:p w14:paraId="71870CE8" w14:textId="155B195F" w:rsidR="00662E2A" w:rsidRPr="00346974" w:rsidRDefault="00662E2A" w:rsidP="00662E2A">
            <w:pPr>
              <w:pStyle w:val="NoSpacing"/>
              <w:jc w:val="center"/>
              <w:rPr>
                <w:sz w:val="22"/>
              </w:rPr>
            </w:pPr>
            <w:r w:rsidRPr="00346974">
              <w:rPr>
                <w:sz w:val="22"/>
              </w:rPr>
              <w:t>Shimei (and friends)</w:t>
            </w:r>
          </w:p>
        </w:tc>
      </w:tr>
      <w:tr w:rsidR="00662E2A" w:rsidRPr="00346974" w14:paraId="7D0DC9E6" w14:textId="77777777" w:rsidTr="00826042">
        <w:trPr>
          <w:jc w:val="center"/>
        </w:trPr>
        <w:tc>
          <w:tcPr>
            <w:tcW w:w="1368" w:type="dxa"/>
          </w:tcPr>
          <w:p w14:paraId="5BCC99EF" w14:textId="77777777" w:rsidR="00662E2A" w:rsidRPr="00346974" w:rsidRDefault="00662E2A" w:rsidP="00662E2A">
            <w:pPr>
              <w:pStyle w:val="NoSpacing"/>
              <w:jc w:val="center"/>
              <w:rPr>
                <w:sz w:val="22"/>
              </w:rPr>
            </w:pPr>
          </w:p>
        </w:tc>
        <w:tc>
          <w:tcPr>
            <w:tcW w:w="3591" w:type="dxa"/>
          </w:tcPr>
          <w:p w14:paraId="533A4249" w14:textId="661E9B46" w:rsidR="00662E2A" w:rsidRPr="00346974" w:rsidRDefault="00662E2A" w:rsidP="00662E2A">
            <w:pPr>
              <w:pStyle w:val="NoSpacing"/>
              <w:jc w:val="center"/>
              <w:rPr>
                <w:sz w:val="22"/>
              </w:rPr>
            </w:pPr>
            <w:r w:rsidRPr="00346974">
              <w:rPr>
                <w:sz w:val="22"/>
              </w:rPr>
              <w:t>David’s veterans</w:t>
            </w:r>
            <w:r w:rsidR="00826042" w:rsidRPr="00346974">
              <w:rPr>
                <w:sz w:val="22"/>
              </w:rPr>
              <w:t xml:space="preserve"> (“warriors”</w:t>
            </w:r>
          </w:p>
        </w:tc>
      </w:tr>
      <w:tr w:rsidR="00662E2A" w:rsidRPr="00346974" w14:paraId="24BD2067" w14:textId="77777777" w:rsidTr="00826042">
        <w:trPr>
          <w:jc w:val="center"/>
        </w:trPr>
        <w:tc>
          <w:tcPr>
            <w:tcW w:w="1368" w:type="dxa"/>
          </w:tcPr>
          <w:p w14:paraId="15078587" w14:textId="77777777" w:rsidR="00662E2A" w:rsidRPr="00346974" w:rsidRDefault="00662E2A" w:rsidP="00662E2A">
            <w:pPr>
              <w:pStyle w:val="NoSpacing"/>
              <w:jc w:val="center"/>
              <w:rPr>
                <w:sz w:val="22"/>
              </w:rPr>
            </w:pPr>
          </w:p>
        </w:tc>
        <w:tc>
          <w:tcPr>
            <w:tcW w:w="3591" w:type="dxa"/>
          </w:tcPr>
          <w:p w14:paraId="5C9A4104" w14:textId="17139185" w:rsidR="00662E2A" w:rsidRPr="00346974" w:rsidRDefault="00662E2A" w:rsidP="00662E2A">
            <w:pPr>
              <w:pStyle w:val="NoSpacing"/>
              <w:jc w:val="center"/>
              <w:rPr>
                <w:sz w:val="22"/>
              </w:rPr>
            </w:pPr>
            <w:r w:rsidRPr="00346974">
              <w:rPr>
                <w:sz w:val="22"/>
              </w:rPr>
              <w:t>Solomon</w:t>
            </w:r>
          </w:p>
        </w:tc>
      </w:tr>
      <w:tr w:rsidR="00662E2A" w:rsidRPr="00346974" w14:paraId="798180A8" w14:textId="77777777" w:rsidTr="00826042">
        <w:trPr>
          <w:jc w:val="center"/>
        </w:trPr>
        <w:tc>
          <w:tcPr>
            <w:tcW w:w="1368" w:type="dxa"/>
          </w:tcPr>
          <w:p w14:paraId="0690E31E" w14:textId="77777777" w:rsidR="00662E2A" w:rsidRPr="00346974" w:rsidRDefault="00662E2A" w:rsidP="00662E2A">
            <w:pPr>
              <w:pStyle w:val="NoSpacing"/>
              <w:jc w:val="center"/>
              <w:rPr>
                <w:sz w:val="22"/>
              </w:rPr>
            </w:pPr>
          </w:p>
        </w:tc>
        <w:tc>
          <w:tcPr>
            <w:tcW w:w="3591" w:type="dxa"/>
          </w:tcPr>
          <w:p w14:paraId="7F65A540" w14:textId="79F7B873" w:rsidR="00662E2A" w:rsidRPr="00346974" w:rsidRDefault="00662E2A" w:rsidP="00662E2A">
            <w:pPr>
              <w:pStyle w:val="NoSpacing"/>
              <w:jc w:val="center"/>
              <w:rPr>
                <w:sz w:val="22"/>
              </w:rPr>
            </w:pPr>
            <w:r w:rsidRPr="00346974">
              <w:rPr>
                <w:sz w:val="22"/>
              </w:rPr>
              <w:t>Bathsheba</w:t>
            </w:r>
          </w:p>
        </w:tc>
      </w:tr>
      <w:tr w:rsidR="00662E2A" w:rsidRPr="00346974" w14:paraId="67343A9D" w14:textId="77777777" w:rsidTr="00826042">
        <w:trPr>
          <w:jc w:val="center"/>
        </w:trPr>
        <w:tc>
          <w:tcPr>
            <w:tcW w:w="1368" w:type="dxa"/>
          </w:tcPr>
          <w:p w14:paraId="7831A956" w14:textId="77777777" w:rsidR="00662E2A" w:rsidRPr="00346974" w:rsidRDefault="00662E2A" w:rsidP="00662E2A">
            <w:pPr>
              <w:pStyle w:val="NoSpacing"/>
              <w:jc w:val="center"/>
              <w:rPr>
                <w:sz w:val="22"/>
              </w:rPr>
            </w:pPr>
          </w:p>
        </w:tc>
        <w:tc>
          <w:tcPr>
            <w:tcW w:w="3591" w:type="dxa"/>
          </w:tcPr>
          <w:p w14:paraId="243A2F45" w14:textId="34982EDF" w:rsidR="00662E2A" w:rsidRPr="00346974" w:rsidRDefault="00662E2A" w:rsidP="00662E2A">
            <w:pPr>
              <w:pStyle w:val="NoSpacing"/>
              <w:jc w:val="center"/>
              <w:rPr>
                <w:sz w:val="22"/>
              </w:rPr>
            </w:pPr>
            <w:r w:rsidRPr="00346974">
              <w:rPr>
                <w:sz w:val="22"/>
              </w:rPr>
              <w:t>Cherethites</w:t>
            </w:r>
          </w:p>
        </w:tc>
      </w:tr>
      <w:tr w:rsidR="00662E2A" w:rsidRPr="00346974" w14:paraId="6E80F5FC" w14:textId="77777777" w:rsidTr="00826042">
        <w:trPr>
          <w:jc w:val="center"/>
        </w:trPr>
        <w:tc>
          <w:tcPr>
            <w:tcW w:w="1368" w:type="dxa"/>
          </w:tcPr>
          <w:p w14:paraId="59B97CFD" w14:textId="77777777" w:rsidR="00662E2A" w:rsidRPr="00346974" w:rsidRDefault="00662E2A" w:rsidP="00662E2A">
            <w:pPr>
              <w:pStyle w:val="NoSpacing"/>
              <w:jc w:val="center"/>
              <w:rPr>
                <w:sz w:val="22"/>
              </w:rPr>
            </w:pPr>
          </w:p>
        </w:tc>
        <w:tc>
          <w:tcPr>
            <w:tcW w:w="3591" w:type="dxa"/>
          </w:tcPr>
          <w:p w14:paraId="3BFCDB97" w14:textId="387AC143" w:rsidR="00662E2A" w:rsidRPr="00346974" w:rsidRDefault="00662E2A" w:rsidP="00662E2A">
            <w:pPr>
              <w:pStyle w:val="NoSpacing"/>
              <w:jc w:val="center"/>
              <w:rPr>
                <w:sz w:val="22"/>
              </w:rPr>
            </w:pPr>
            <w:r w:rsidRPr="00346974">
              <w:rPr>
                <w:sz w:val="22"/>
              </w:rPr>
              <w:t>Pelethites</w:t>
            </w:r>
          </w:p>
        </w:tc>
      </w:tr>
      <w:tr w:rsidR="00826042" w:rsidRPr="00346974" w14:paraId="6482609F" w14:textId="77777777" w:rsidTr="00826042">
        <w:trPr>
          <w:jc w:val="center"/>
        </w:trPr>
        <w:tc>
          <w:tcPr>
            <w:tcW w:w="1368" w:type="dxa"/>
          </w:tcPr>
          <w:p w14:paraId="73093127" w14:textId="77777777" w:rsidR="00826042" w:rsidRPr="00346974" w:rsidRDefault="00826042" w:rsidP="00662E2A">
            <w:pPr>
              <w:pStyle w:val="NoSpacing"/>
              <w:jc w:val="center"/>
              <w:rPr>
                <w:sz w:val="22"/>
              </w:rPr>
            </w:pPr>
          </w:p>
        </w:tc>
        <w:tc>
          <w:tcPr>
            <w:tcW w:w="3591" w:type="dxa"/>
          </w:tcPr>
          <w:p w14:paraId="42AF920A" w14:textId="0EA6921D" w:rsidR="00826042" w:rsidRPr="00346974" w:rsidRDefault="00826042" w:rsidP="00662E2A">
            <w:pPr>
              <w:pStyle w:val="NoSpacing"/>
              <w:jc w:val="center"/>
              <w:rPr>
                <w:sz w:val="22"/>
              </w:rPr>
            </w:pPr>
            <w:r w:rsidRPr="00346974">
              <w:rPr>
                <w:sz w:val="22"/>
              </w:rPr>
              <w:t>Jonathan</w:t>
            </w:r>
          </w:p>
        </w:tc>
      </w:tr>
    </w:tbl>
    <w:p w14:paraId="1B6C9F85" w14:textId="6EB14577" w:rsidR="00CE21BD" w:rsidRDefault="00CE21BD" w:rsidP="00CE21BD">
      <w:pPr>
        <w:pStyle w:val="NoSpacing"/>
      </w:pPr>
      <w:r w:rsidRPr="00CE21BD">
        <w:rPr>
          <w:b/>
          <w:bCs/>
        </w:rPr>
        <w:t>FACTOID</w:t>
      </w:r>
      <w:r>
        <w:t xml:space="preserve">: </w:t>
      </w:r>
      <w:r w:rsidRPr="00CE21BD">
        <w:t xml:space="preserve">Adonijah’s </w:t>
      </w:r>
      <w:r w:rsidRPr="00CE21BD">
        <w:rPr>
          <w:u w:val="single"/>
        </w:rPr>
        <w:t>personal</w:t>
      </w:r>
      <w:r w:rsidRPr="00CE21BD">
        <w:t xml:space="preserve"> </w:t>
      </w:r>
      <w:r w:rsidRPr="00CE21BD">
        <w:rPr>
          <w:u w:val="single"/>
        </w:rPr>
        <w:t>ambition</w:t>
      </w:r>
      <w:r w:rsidRPr="00CE21BD">
        <w:t xml:space="preserve"> led to his own demise in a story that echoes that of the rebellion and death of his elder brother Absalom.</w:t>
      </w:r>
    </w:p>
    <w:p w14:paraId="4F5643F6" w14:textId="32CABC30" w:rsidR="00CE21BD" w:rsidRDefault="00F41029" w:rsidP="00CE21BD">
      <w:pPr>
        <w:pStyle w:val="NoSpacing"/>
      </w:pPr>
      <w:r w:rsidRPr="00F41029">
        <w:rPr>
          <w:b/>
          <w:bCs/>
        </w:rPr>
        <w:t>FACTOID</w:t>
      </w:r>
      <w:r>
        <w:t xml:space="preserve">: </w:t>
      </w:r>
      <w:r w:rsidRPr="00F41029">
        <w:rPr>
          <w:u w:val="single"/>
        </w:rPr>
        <w:t>Adonijah and Absalom similarities</w:t>
      </w:r>
      <w:r>
        <w:t>:</w:t>
      </w:r>
    </w:p>
    <w:p w14:paraId="7D3F1A57" w14:textId="77777777" w:rsidR="00F41029" w:rsidRDefault="00F41029" w:rsidP="00F41029">
      <w:pPr>
        <w:pStyle w:val="NoSpacing"/>
        <w:numPr>
          <w:ilvl w:val="0"/>
          <w:numId w:val="8"/>
        </w:numPr>
      </w:pPr>
      <w:r w:rsidRPr="00F41029">
        <w:t xml:space="preserve">Both men are described as handsome and appealing figures, who were not adequately disciplined by their father. </w:t>
      </w:r>
    </w:p>
    <w:p w14:paraId="24FF1727" w14:textId="77777777" w:rsidR="00F41029" w:rsidRDefault="00F41029" w:rsidP="00F41029">
      <w:pPr>
        <w:pStyle w:val="NoSpacing"/>
        <w:numPr>
          <w:ilvl w:val="0"/>
          <w:numId w:val="8"/>
        </w:numPr>
      </w:pPr>
      <w:r w:rsidRPr="00F41029">
        <w:t xml:space="preserve">Adonijah enlisted the help of “chariots and horsemen and fifty men to run before him” (1 Kgs 1:5), as Absalom had done before him (2 Sam 15:1). </w:t>
      </w:r>
    </w:p>
    <w:p w14:paraId="2DD3A7C3" w14:textId="77777777" w:rsidR="00F41029" w:rsidRDefault="00F41029" w:rsidP="00F41029">
      <w:pPr>
        <w:pStyle w:val="NoSpacing"/>
        <w:numPr>
          <w:ilvl w:val="0"/>
          <w:numId w:val="8"/>
        </w:numPr>
      </w:pPr>
      <w:r w:rsidRPr="00F41029">
        <w:t xml:space="preserve">Both sought the crown on their own without David’s </w:t>
      </w:r>
      <w:proofErr w:type="gramStart"/>
      <w:r w:rsidRPr="00F41029">
        <w:t>support;</w:t>
      </w:r>
      <w:proofErr w:type="gramEnd"/>
      <w:r w:rsidRPr="00F41029">
        <w:t xml:space="preserve"> </w:t>
      </w:r>
    </w:p>
    <w:p w14:paraId="7AD41FFC" w14:textId="2BD79E5C" w:rsidR="00F41029" w:rsidRDefault="00F41029" w:rsidP="00F41029">
      <w:pPr>
        <w:pStyle w:val="NoSpacing"/>
        <w:numPr>
          <w:ilvl w:val="0"/>
          <w:numId w:val="8"/>
        </w:numPr>
      </w:pPr>
      <w:r w:rsidRPr="00F41029">
        <w:t>Adonijah’s request from Solomon that he be given Abishag as his wife is reminiscent of Absalom, who, after taking Jerusalem and in order to secure his political position, publicly took David’s concubines as his own (2 Sam 16:20–23).</w:t>
      </w:r>
    </w:p>
    <w:p w14:paraId="5E50ABCA" w14:textId="0456B197" w:rsidR="00662E2A" w:rsidRDefault="00826042" w:rsidP="00662E2A">
      <w:pPr>
        <w:pStyle w:val="NoSpacing"/>
      </w:pPr>
      <w:r>
        <w:rPr>
          <w:b/>
          <w:bCs/>
        </w:rPr>
        <w:lastRenderedPageBreak/>
        <w:t>1:33 “My mule” –</w:t>
      </w:r>
      <w:r>
        <w:t xml:space="preserve"> Having Solomon ride on David’s mule indicates that Solomon is David’s chose one. The mule is a symbol of royalty.</w:t>
      </w:r>
    </w:p>
    <w:p w14:paraId="62D26927" w14:textId="150FBE9D" w:rsidR="00826042" w:rsidRPr="00826042" w:rsidRDefault="00826042" w:rsidP="00662E2A">
      <w:pPr>
        <w:pStyle w:val="NoSpacing"/>
        <w:rPr>
          <w:b/>
          <w:bCs/>
        </w:rPr>
      </w:pPr>
      <w:r w:rsidRPr="00826042">
        <w:rPr>
          <w:b/>
          <w:bCs/>
        </w:rPr>
        <w:t>2:3 The conditions</w:t>
      </w:r>
      <w:r>
        <w:rPr>
          <w:b/>
          <w:bCs/>
        </w:rPr>
        <w:t>/teachings</w:t>
      </w:r>
      <w:r w:rsidRPr="00826042">
        <w:rPr>
          <w:b/>
          <w:bCs/>
        </w:rPr>
        <w:t xml:space="preserve"> of faithfulness to God </w:t>
      </w:r>
      <w:r w:rsidR="00A53B58">
        <w:rPr>
          <w:b/>
          <w:bCs/>
        </w:rPr>
        <w:t>(links Joshua to Solomon)</w:t>
      </w:r>
    </w:p>
    <w:p w14:paraId="223855DC" w14:textId="5ECC265C" w:rsidR="00826042" w:rsidRDefault="00826042" w:rsidP="00826042">
      <w:pPr>
        <w:pStyle w:val="NoSpacing"/>
        <w:numPr>
          <w:ilvl w:val="0"/>
          <w:numId w:val="9"/>
        </w:numPr>
      </w:pPr>
      <w:r>
        <w:t>Laws</w:t>
      </w:r>
    </w:p>
    <w:p w14:paraId="6E31B4BC" w14:textId="6F071577" w:rsidR="00826042" w:rsidRDefault="00826042" w:rsidP="00826042">
      <w:pPr>
        <w:pStyle w:val="NoSpacing"/>
        <w:numPr>
          <w:ilvl w:val="0"/>
          <w:numId w:val="9"/>
        </w:numPr>
      </w:pPr>
      <w:r>
        <w:t>Commands</w:t>
      </w:r>
    </w:p>
    <w:p w14:paraId="18647014" w14:textId="44C12415" w:rsidR="00826042" w:rsidRDefault="00826042" w:rsidP="00826042">
      <w:pPr>
        <w:pStyle w:val="NoSpacing"/>
        <w:numPr>
          <w:ilvl w:val="0"/>
          <w:numId w:val="9"/>
        </w:numPr>
      </w:pPr>
      <w:r>
        <w:t>Judgments</w:t>
      </w:r>
    </w:p>
    <w:p w14:paraId="404F2544" w14:textId="245C0745" w:rsidR="00826042" w:rsidRDefault="00826042" w:rsidP="00826042">
      <w:pPr>
        <w:pStyle w:val="NoSpacing"/>
        <w:numPr>
          <w:ilvl w:val="0"/>
          <w:numId w:val="9"/>
        </w:numPr>
      </w:pPr>
      <w:r>
        <w:t>Testimonies</w:t>
      </w:r>
    </w:p>
    <w:p w14:paraId="187F1819" w14:textId="74F25C96" w:rsidR="00826042" w:rsidRDefault="00826042" w:rsidP="00662E2A">
      <w:pPr>
        <w:pStyle w:val="NoSpacing"/>
      </w:pPr>
      <w:r>
        <w:t>“</w:t>
      </w:r>
      <w:r w:rsidRPr="00A53B58">
        <w:rPr>
          <w:b/>
          <w:bCs/>
        </w:rPr>
        <w:t>Walking”</w:t>
      </w:r>
      <w:r>
        <w:t xml:space="preserve">- a characteristic way of describing moral </w:t>
      </w:r>
      <w:proofErr w:type="gramStart"/>
      <w:r>
        <w:t>life</w:t>
      </w:r>
      <w:proofErr w:type="gramEnd"/>
    </w:p>
    <w:p w14:paraId="203A6261" w14:textId="0E29979E" w:rsidR="00826042" w:rsidRDefault="00826042" w:rsidP="00662E2A">
      <w:pPr>
        <w:pStyle w:val="NoSpacing"/>
      </w:pPr>
      <w:r w:rsidRPr="00A53B58">
        <w:rPr>
          <w:b/>
          <w:bCs/>
        </w:rPr>
        <w:t>“Instructions from Moses (Deut. 17:9-10)-</w:t>
      </w:r>
      <w:r>
        <w:t xml:space="preserve"> According to Deuteronomy future kings were to obey them, which likely refers </w:t>
      </w:r>
      <w:r w:rsidR="00A53B58">
        <w:t xml:space="preserve">here to some form of the book of Deuteronomy. </w:t>
      </w:r>
    </w:p>
    <w:p w14:paraId="58384406" w14:textId="2FC72E17" w:rsidR="00A53B58" w:rsidRDefault="00A53B58" w:rsidP="00662E2A">
      <w:pPr>
        <w:pStyle w:val="NoSpacing"/>
      </w:pPr>
      <w:r w:rsidRPr="00A53B58">
        <w:rPr>
          <w:b/>
          <w:bCs/>
        </w:rPr>
        <w:t>“Succeed”</w:t>
      </w:r>
      <w:r>
        <w:t xml:space="preserve"> – the same word used in Joshua 1:8.</w:t>
      </w:r>
    </w:p>
    <w:p w14:paraId="2B3B5F12" w14:textId="0BA15CB2" w:rsidR="00662E2A" w:rsidRDefault="00662E2A" w:rsidP="00CE21BD">
      <w:pPr>
        <w:pStyle w:val="NoSpacing"/>
      </w:pPr>
      <w:r>
        <w:rPr>
          <w:b/>
          <w:bCs/>
        </w:rPr>
        <w:t xml:space="preserve">Abi and Ado sitting in a tree: </w:t>
      </w:r>
      <w:r w:rsidRPr="00662E2A">
        <w:rPr>
          <w:b/>
          <w:bCs/>
          <w:i/>
          <w:iCs/>
        </w:rPr>
        <w:t xml:space="preserve">Christensen on why </w:t>
      </w:r>
      <w:r>
        <w:rPr>
          <w:b/>
          <w:bCs/>
          <w:i/>
          <w:iCs/>
        </w:rPr>
        <w:t>“</w:t>
      </w:r>
      <w:r w:rsidRPr="00662E2A">
        <w:rPr>
          <w:b/>
          <w:bCs/>
          <w:i/>
          <w:iCs/>
        </w:rPr>
        <w:t>Ado</w:t>
      </w:r>
      <w:r>
        <w:rPr>
          <w:b/>
          <w:bCs/>
          <w:i/>
          <w:iCs/>
        </w:rPr>
        <w:t>”</w:t>
      </w:r>
      <w:r w:rsidRPr="00662E2A">
        <w:rPr>
          <w:b/>
          <w:bCs/>
          <w:i/>
          <w:iCs/>
        </w:rPr>
        <w:t xml:space="preserve"> request</w:t>
      </w:r>
      <w:r w:rsidR="00A53B58">
        <w:rPr>
          <w:b/>
          <w:bCs/>
          <w:i/>
          <w:iCs/>
        </w:rPr>
        <w:t>ed</w:t>
      </w:r>
      <w:r w:rsidRPr="00662E2A">
        <w:rPr>
          <w:b/>
          <w:bCs/>
          <w:i/>
          <w:iCs/>
        </w:rPr>
        <w:t xml:space="preserve"> </w:t>
      </w:r>
      <w:r>
        <w:rPr>
          <w:b/>
          <w:bCs/>
          <w:i/>
          <w:iCs/>
        </w:rPr>
        <w:t>“</w:t>
      </w:r>
      <w:r w:rsidRPr="00662E2A">
        <w:rPr>
          <w:b/>
          <w:bCs/>
          <w:i/>
          <w:iCs/>
        </w:rPr>
        <w:t>Abi</w:t>
      </w:r>
      <w:r>
        <w:t>:” “</w:t>
      </w:r>
      <w:r w:rsidRPr="00662E2A">
        <w:t>Assuming Abishag was part of David’s harem, Adonijah’s request can be interpreted as an attempt to seize Solomon’s throne. Since the appropriation of a king’s harem appears to be tantamount to a bid for the throne itself</w:t>
      </w:r>
      <w:r w:rsidR="00346974">
        <w:t xml:space="preserve">, </w:t>
      </w:r>
      <w:r w:rsidRPr="00662E2A">
        <w:t>the possession of Abishag as wife would be politically significant. One could argue, however, that Adonijah would have been a fool to make such an open bid. Instead, his request might have reflected nothing more ambitious than his desire for Abishag.</w:t>
      </w:r>
      <w:r>
        <w:t>”</w:t>
      </w:r>
    </w:p>
    <w:p w14:paraId="3A4A2948" w14:textId="0202759F" w:rsidR="00A53B58" w:rsidRPr="00A53B58" w:rsidRDefault="00A53B58" w:rsidP="00CE21BD">
      <w:pPr>
        <w:pStyle w:val="NoSpacing"/>
        <w:rPr>
          <w:b/>
          <w:bCs/>
          <w:u w:val="single"/>
        </w:rPr>
      </w:pPr>
      <w:r w:rsidRPr="00A53B58">
        <w:rPr>
          <w:b/>
          <w:bCs/>
          <w:u w:val="single"/>
        </w:rPr>
        <w:t>You’re On The (Hit)List!</w:t>
      </w:r>
    </w:p>
    <w:p w14:paraId="11A5A9FE" w14:textId="72A5E247" w:rsidR="00A53B58" w:rsidRDefault="00A53B58" w:rsidP="00A53B58">
      <w:pPr>
        <w:pStyle w:val="NoSpacing"/>
        <w:numPr>
          <w:ilvl w:val="0"/>
          <w:numId w:val="10"/>
        </w:numPr>
      </w:pPr>
      <w:r>
        <w:t>Adonijah- KILLED</w:t>
      </w:r>
    </w:p>
    <w:p w14:paraId="158F0DAB" w14:textId="2118C444" w:rsidR="00A53B58" w:rsidRDefault="00A53B58" w:rsidP="00A53B58">
      <w:pPr>
        <w:pStyle w:val="NoSpacing"/>
        <w:numPr>
          <w:ilvl w:val="0"/>
          <w:numId w:val="10"/>
        </w:numPr>
      </w:pPr>
      <w:r>
        <w:t>Abiathar- EXPELLED from the priesthood (fulfilling the prophecy concerning Eli’s family)</w:t>
      </w:r>
    </w:p>
    <w:p w14:paraId="3AC001C8" w14:textId="73B0138D" w:rsidR="00A53B58" w:rsidRDefault="00A53B58" w:rsidP="00A53B58">
      <w:pPr>
        <w:pStyle w:val="NoSpacing"/>
        <w:numPr>
          <w:ilvl w:val="0"/>
          <w:numId w:val="10"/>
        </w:numPr>
      </w:pPr>
      <w:r>
        <w:t>Joab- KILLED</w:t>
      </w:r>
    </w:p>
    <w:p w14:paraId="1400B60E" w14:textId="4CFAB67E" w:rsidR="00A53B58" w:rsidRDefault="00A53B58" w:rsidP="00CE21BD">
      <w:pPr>
        <w:pStyle w:val="NoSpacing"/>
        <w:numPr>
          <w:ilvl w:val="0"/>
          <w:numId w:val="10"/>
        </w:numPr>
      </w:pPr>
      <w:r>
        <w:t>Shimei- KILLED</w:t>
      </w:r>
    </w:p>
    <w:p w14:paraId="3B0DFB28" w14:textId="39771BAF" w:rsidR="00FB1265" w:rsidRDefault="00FB1265" w:rsidP="00346974">
      <w:pPr>
        <w:pStyle w:val="NoSpacing"/>
        <w:jc w:val="center"/>
      </w:pPr>
      <w:r>
        <w:t xml:space="preserve">God speaks to Solomon </w:t>
      </w:r>
      <w:r w:rsidRPr="00FB1265">
        <w:rPr>
          <w:b/>
          <w:bCs/>
          <w:u w:val="single"/>
        </w:rPr>
        <w:t>twice</w:t>
      </w:r>
      <w:r>
        <w:t xml:space="preserve"> in 1 Kings (Ch. 3 and Ch. 9).</w:t>
      </w:r>
    </w:p>
    <w:p w14:paraId="606C47CB" w14:textId="2A598618" w:rsidR="00FB1265" w:rsidRDefault="00FB1265" w:rsidP="0032732A">
      <w:pPr>
        <w:pStyle w:val="NoSpacing"/>
      </w:pPr>
      <w:r w:rsidRPr="00FB1265">
        <w:rPr>
          <w:b/>
          <w:bCs/>
        </w:rPr>
        <w:t>THE BIG IF</w:t>
      </w:r>
      <w:r>
        <w:t>: God promises to fulfill the covenant made with David as long as Solomon walks</w:t>
      </w:r>
      <w:r w:rsidRPr="00FB1265">
        <w:t xml:space="preserve"> in </w:t>
      </w:r>
      <w:r>
        <w:t>God’s</w:t>
      </w:r>
      <w:r w:rsidRPr="00FB1265">
        <w:t xml:space="preserve"> ways, keeping </w:t>
      </w:r>
      <w:r>
        <w:t>His</w:t>
      </w:r>
      <w:r w:rsidRPr="00FB1265">
        <w:t xml:space="preserve"> statutes and commandments</w:t>
      </w:r>
      <w:r>
        <w:t>.</w:t>
      </w:r>
    </w:p>
    <w:p w14:paraId="3006E4BD" w14:textId="24C18CE2" w:rsidR="00FB1265" w:rsidRDefault="00FB1265" w:rsidP="0032732A">
      <w:pPr>
        <w:pStyle w:val="NoSpacing"/>
      </w:pPr>
      <w:r w:rsidRPr="00FB1265">
        <w:rPr>
          <w:b/>
          <w:bCs/>
        </w:rPr>
        <w:t>3:16-28</w:t>
      </w:r>
      <w:r>
        <w:t xml:space="preserve">: </w:t>
      </w:r>
      <w:r w:rsidRPr="00346974">
        <w:rPr>
          <w:b/>
          <w:bCs/>
        </w:rPr>
        <w:t>On the next Jerry Springer! (That’s My Baby!)-</w:t>
      </w:r>
      <w:r>
        <w:t xml:space="preserve"> this situation points out that kings were expected to hand out justice. </w:t>
      </w:r>
    </w:p>
    <w:p w14:paraId="3DE9216F" w14:textId="03CCBE77" w:rsidR="00530B85" w:rsidRDefault="00530B85" w:rsidP="0032732A">
      <w:pPr>
        <w:pStyle w:val="NoSpacing"/>
      </w:pPr>
      <w:r w:rsidRPr="00530B85">
        <w:rPr>
          <w:b/>
          <w:bCs/>
        </w:rPr>
        <w:t>5:13: “Conscripted”</w:t>
      </w:r>
      <w:r>
        <w:t xml:space="preserve"> Ancient kings often imposed work projects on average citizens.</w:t>
      </w:r>
    </w:p>
    <w:p w14:paraId="0CE715D3" w14:textId="756BE702" w:rsidR="00530B85" w:rsidRDefault="00530B85" w:rsidP="0032732A">
      <w:pPr>
        <w:pStyle w:val="NoSpacing"/>
      </w:pPr>
      <w:r w:rsidRPr="00530B85">
        <w:rPr>
          <w:b/>
          <w:bCs/>
        </w:rPr>
        <w:lastRenderedPageBreak/>
        <w:t>Chapter 6</w:t>
      </w:r>
      <w:r>
        <w:t xml:space="preserve">: The Temple is built in </w:t>
      </w:r>
      <w:r w:rsidRPr="00346974">
        <w:rPr>
          <w:b/>
          <w:bCs/>
        </w:rPr>
        <w:t>7</w:t>
      </w:r>
      <w:r>
        <w:t xml:space="preserve"> years.</w:t>
      </w:r>
      <w:r w:rsidR="00346974">
        <w:t xml:space="preserve"> </w:t>
      </w:r>
      <w:r w:rsidRPr="00530B85">
        <w:rPr>
          <w:b/>
          <w:bCs/>
        </w:rPr>
        <w:t>Chapter 7</w:t>
      </w:r>
      <w:r>
        <w:t xml:space="preserve">: Solomon’s palace is built in </w:t>
      </w:r>
      <w:r w:rsidRPr="00346974">
        <w:rPr>
          <w:b/>
          <w:bCs/>
        </w:rPr>
        <w:t>13</w:t>
      </w:r>
      <w:r>
        <w:t xml:space="preserve"> years. (Priorities?)</w:t>
      </w:r>
    </w:p>
    <w:p w14:paraId="42D64840" w14:textId="4E849EAE" w:rsidR="00530B85" w:rsidRDefault="00530B85" w:rsidP="0032732A">
      <w:pPr>
        <w:pStyle w:val="NoSpacing"/>
      </w:pPr>
      <w:r w:rsidRPr="00175F3F">
        <w:rPr>
          <w:b/>
          <w:bCs/>
        </w:rPr>
        <w:t>Chapter 8</w:t>
      </w:r>
      <w:r>
        <w:t xml:space="preserve">: “Hear in Heaven” is said by Solomon </w:t>
      </w:r>
      <w:r w:rsidRPr="00175F3F">
        <w:rPr>
          <w:b/>
          <w:bCs/>
        </w:rPr>
        <w:t>seven</w:t>
      </w:r>
      <w:r>
        <w:t xml:space="preserve"> times. Solomon describes seven times the people sinned, prayed toward the temple, and then were forgiven by God. </w:t>
      </w:r>
    </w:p>
    <w:p w14:paraId="12A4D7E8" w14:textId="421AA2E7" w:rsidR="0032732A" w:rsidRPr="00175F3F" w:rsidRDefault="0032732A" w:rsidP="0032732A">
      <w:pPr>
        <w:pStyle w:val="NoSpacing"/>
        <w:rPr>
          <w:b/>
          <w:bCs/>
          <w:u w:val="single"/>
        </w:rPr>
      </w:pPr>
      <w:r w:rsidRPr="00175F3F">
        <w:rPr>
          <w:b/>
          <w:bCs/>
          <w:u w:val="single"/>
        </w:rPr>
        <w:t>Rebellion Splits the Nation (1 Kings 12:1–16:28)</w:t>
      </w:r>
    </w:p>
    <w:p w14:paraId="16892636" w14:textId="1D56A75B" w:rsidR="00346974" w:rsidRDefault="00346974" w:rsidP="00346974">
      <w:pPr>
        <w:pStyle w:val="NoSpacing"/>
      </w:pPr>
      <w:r>
        <w:t xml:space="preserve">Why split? It wasn’t over God. </w:t>
      </w:r>
      <w:r w:rsidRPr="00346974">
        <w:rPr>
          <w:b/>
          <w:bCs/>
          <w:i/>
          <w:iCs/>
        </w:rPr>
        <w:t>Walter Brueggemann writes</w:t>
      </w:r>
      <w:r>
        <w:t>, “The</w:t>
      </w:r>
      <w:r>
        <w:t xml:space="preserve"> split did not happen over a theological dispute; nor was it simply a gradual growing apart; rather, it was triggered by a concrete issue of </w:t>
      </w:r>
      <w:r w:rsidRPr="00346974">
        <w:rPr>
          <w:u w:val="single"/>
        </w:rPr>
        <w:t>political oppression and social liberation</w:t>
      </w:r>
      <w:r>
        <w:t>. There is no doubt that the royal consciousness was committed to the maintenance of order at the cost of justice</w:t>
      </w:r>
      <w:r>
        <w:t xml:space="preserve">… </w:t>
      </w:r>
      <w:r>
        <w:t xml:space="preserve">This entire phase of Israel’s history is easily understood as </w:t>
      </w:r>
      <w:r w:rsidRPr="00346974">
        <w:rPr>
          <w:u w:val="single"/>
        </w:rPr>
        <w:t>a confrontation of kings and prophets</w:t>
      </w:r>
      <w:r>
        <w:t>, thus continuing the claims of the Davidic-Solomonic commitment to order and continuity and the Mosaic affirmation of freedom even at the cost of discontinuity</w:t>
      </w:r>
      <w:r>
        <w:t>.”</w:t>
      </w:r>
    </w:p>
    <w:p w14:paraId="37D3F840" w14:textId="4E2C5A18" w:rsidR="0032732A" w:rsidRPr="00346974" w:rsidRDefault="00D656CB" w:rsidP="0032732A">
      <w:pPr>
        <w:pStyle w:val="NoSpacing"/>
        <w:rPr>
          <w:b/>
          <w:bCs/>
          <w:u w:val="single"/>
        </w:rPr>
      </w:pPr>
      <w:r w:rsidRPr="00346974">
        <w:rPr>
          <w:b/>
          <w:bCs/>
          <w:u w:val="single"/>
        </w:rPr>
        <w:t>The Dynasties</w:t>
      </w:r>
    </w:p>
    <w:p w14:paraId="157C448E" w14:textId="2BD4D4CD" w:rsidR="00D656CB" w:rsidRDefault="00D656CB" w:rsidP="00D656CB">
      <w:pPr>
        <w:pStyle w:val="NoSpacing"/>
        <w:numPr>
          <w:ilvl w:val="0"/>
          <w:numId w:val="12"/>
        </w:numPr>
      </w:pPr>
      <w:r>
        <w:t>Jeroboam</w:t>
      </w:r>
    </w:p>
    <w:p w14:paraId="2493F6A3" w14:textId="44D2C0EC" w:rsidR="00D656CB" w:rsidRDefault="00D656CB" w:rsidP="00D656CB">
      <w:pPr>
        <w:pStyle w:val="NoSpacing"/>
        <w:numPr>
          <w:ilvl w:val="0"/>
          <w:numId w:val="12"/>
        </w:numPr>
      </w:pPr>
      <w:proofErr w:type="spellStart"/>
      <w:r>
        <w:t>Baasha</w:t>
      </w:r>
      <w:proofErr w:type="spellEnd"/>
    </w:p>
    <w:p w14:paraId="073CFABB" w14:textId="6E7BC3DF" w:rsidR="00D656CB" w:rsidRDefault="00D656CB" w:rsidP="00D656CB">
      <w:pPr>
        <w:pStyle w:val="NoSpacing"/>
        <w:numPr>
          <w:ilvl w:val="0"/>
          <w:numId w:val="12"/>
        </w:numPr>
      </w:pPr>
      <w:proofErr w:type="spellStart"/>
      <w:r>
        <w:t>Zimri</w:t>
      </w:r>
      <w:proofErr w:type="spellEnd"/>
    </w:p>
    <w:p w14:paraId="7964703F" w14:textId="0C27257B" w:rsidR="00D656CB" w:rsidRDefault="00D656CB" w:rsidP="00D656CB">
      <w:pPr>
        <w:pStyle w:val="NoSpacing"/>
        <w:numPr>
          <w:ilvl w:val="0"/>
          <w:numId w:val="12"/>
        </w:numPr>
      </w:pPr>
      <w:proofErr w:type="spellStart"/>
      <w:r>
        <w:t>Omri</w:t>
      </w:r>
      <w:proofErr w:type="spellEnd"/>
    </w:p>
    <w:p w14:paraId="1ED4D094" w14:textId="5657C97E" w:rsidR="00D656CB" w:rsidRDefault="00D656CB" w:rsidP="00D656CB">
      <w:pPr>
        <w:pStyle w:val="NoSpacing"/>
        <w:numPr>
          <w:ilvl w:val="0"/>
          <w:numId w:val="12"/>
        </w:numPr>
      </w:pPr>
      <w:r w:rsidRPr="00175F3F">
        <w:rPr>
          <w:b/>
          <w:bCs/>
          <w:u w:val="single"/>
        </w:rPr>
        <w:t>Ahab</w:t>
      </w:r>
      <w:r>
        <w:t xml:space="preserve"> “</w:t>
      </w:r>
      <w:r w:rsidRPr="00D656CB">
        <w:t xml:space="preserve">Ahab son of </w:t>
      </w:r>
      <w:proofErr w:type="spellStart"/>
      <w:r w:rsidRPr="00D656CB">
        <w:t>Omri</w:t>
      </w:r>
      <w:proofErr w:type="spellEnd"/>
      <w:r w:rsidRPr="00D656CB">
        <w:t xml:space="preserve"> did </w:t>
      </w:r>
      <w:r w:rsidRPr="00D656CB">
        <w:rPr>
          <w:b/>
          <w:bCs/>
        </w:rPr>
        <w:t>evil</w:t>
      </w:r>
      <w:r w:rsidRPr="00D656CB">
        <w:t xml:space="preserve"> in the sight of the LORD </w:t>
      </w:r>
      <w:r w:rsidRPr="00D656CB">
        <w:rPr>
          <w:b/>
          <w:bCs/>
        </w:rPr>
        <w:t>more than all</w:t>
      </w:r>
      <w:r w:rsidRPr="00D656CB">
        <w:t xml:space="preserve"> who were before him.</w:t>
      </w:r>
      <w:r>
        <w:t>”</w:t>
      </w:r>
    </w:p>
    <w:p w14:paraId="090A252A" w14:textId="243BFD28" w:rsidR="001223DE" w:rsidRPr="001223DE" w:rsidRDefault="001223DE" w:rsidP="001223DE">
      <w:pPr>
        <w:pStyle w:val="NoSpacing"/>
        <w:numPr>
          <w:ilvl w:val="1"/>
          <w:numId w:val="12"/>
        </w:numPr>
        <w:rPr>
          <w:i/>
          <w:iCs/>
        </w:rPr>
      </w:pPr>
      <w:r w:rsidRPr="001223DE">
        <w:rPr>
          <w:i/>
          <w:iCs/>
          <w:u w:val="single"/>
        </w:rPr>
        <w:t>According to Paul House</w:t>
      </w:r>
      <w:r w:rsidRPr="001223DE">
        <w:rPr>
          <w:i/>
          <w:iCs/>
        </w:rPr>
        <w:t>:</w:t>
      </w:r>
      <w:r w:rsidRPr="001223DE">
        <w:t xml:space="preserve"> “</w:t>
      </w:r>
      <w:r w:rsidRPr="001223DE">
        <w:t>Ahab succeeds his father with the kingdom in the best shape since Jeroboam’s times.</w:t>
      </w:r>
      <w:r w:rsidRPr="001223DE">
        <w:t>”</w:t>
      </w:r>
    </w:p>
    <w:p w14:paraId="52A56FE4" w14:textId="6548ECBF" w:rsidR="00D656CB" w:rsidRDefault="00D656CB" w:rsidP="00A53B58">
      <w:pPr>
        <w:pStyle w:val="NoSpacing"/>
      </w:pPr>
      <w:r>
        <w:rPr>
          <w:b/>
          <w:bCs/>
        </w:rPr>
        <w:t>Smell the Sarcasm/Condescension</w:t>
      </w:r>
      <w:r>
        <w:t>- “</w:t>
      </w:r>
      <w:r w:rsidRPr="00D656CB">
        <w:rPr>
          <w:b/>
          <w:bCs/>
          <w:i/>
          <w:iCs/>
        </w:rPr>
        <w:t xml:space="preserve">And as if it had been a light thing for him </w:t>
      </w:r>
      <w:r w:rsidRPr="00D656CB">
        <w:t xml:space="preserve">to walk in the sins of Jeroboam son of </w:t>
      </w:r>
      <w:proofErr w:type="spellStart"/>
      <w:r w:rsidRPr="00D656CB">
        <w:t>Nebat</w:t>
      </w:r>
      <w:proofErr w:type="spellEnd"/>
      <w:r w:rsidRPr="00D656CB">
        <w:t xml:space="preserve">, he took as his wife Jezebel daughter of King </w:t>
      </w:r>
      <w:proofErr w:type="spellStart"/>
      <w:r w:rsidRPr="00D656CB">
        <w:t>Ethbaal</w:t>
      </w:r>
      <w:proofErr w:type="spellEnd"/>
      <w:r w:rsidRPr="00D656CB">
        <w:t xml:space="preserve"> of the Sidonians, and went and served Baal, and worshiped him.</w:t>
      </w:r>
      <w:r>
        <w:t>” (16:31)</w:t>
      </w:r>
    </w:p>
    <w:p w14:paraId="377409E8" w14:textId="55EA02B9" w:rsidR="001223DE" w:rsidRPr="001223DE" w:rsidRDefault="001223DE" w:rsidP="00A53B58">
      <w:pPr>
        <w:pStyle w:val="NoSpacing"/>
        <w:rPr>
          <w:b/>
          <w:bCs/>
          <w:u w:val="single"/>
        </w:rPr>
      </w:pPr>
      <w:r w:rsidRPr="001223DE">
        <w:rPr>
          <w:b/>
          <w:bCs/>
          <w:u w:val="single"/>
        </w:rPr>
        <w:t>Ahab’s Really Bad Moves:</w:t>
      </w:r>
    </w:p>
    <w:p w14:paraId="188E1285" w14:textId="3CBDF511" w:rsidR="00E94015" w:rsidRDefault="00E94015" w:rsidP="001223DE">
      <w:pPr>
        <w:pStyle w:val="NoSpacing"/>
        <w:numPr>
          <w:ilvl w:val="0"/>
          <w:numId w:val="14"/>
        </w:numPr>
      </w:pPr>
      <w:r>
        <w:t xml:space="preserve">Jezebel killed off the prophets of the Lord (except </w:t>
      </w:r>
      <w:r w:rsidR="001223DE">
        <w:t>Obadiah</w:t>
      </w:r>
      <w:r>
        <w:t xml:space="preserve"> </w:t>
      </w:r>
      <w:r w:rsidR="001223DE">
        <w:t>who hid</w:t>
      </w:r>
      <w:r>
        <w:t xml:space="preserve"> 100 more)</w:t>
      </w:r>
    </w:p>
    <w:p w14:paraId="125A5B15" w14:textId="05323264" w:rsidR="00D656CB" w:rsidRDefault="00D656CB" w:rsidP="001223DE">
      <w:pPr>
        <w:pStyle w:val="NoSpacing"/>
        <w:numPr>
          <w:ilvl w:val="0"/>
          <w:numId w:val="14"/>
        </w:numPr>
      </w:pPr>
      <w:r>
        <w:t xml:space="preserve">He </w:t>
      </w:r>
      <w:r w:rsidRPr="001223DE">
        <w:rPr>
          <w:b/>
          <w:bCs/>
          <w:i/>
          <w:iCs/>
        </w:rPr>
        <w:t>built a house</w:t>
      </w:r>
      <w:r>
        <w:t xml:space="preserve"> for Baal in Samaria!</w:t>
      </w:r>
    </w:p>
    <w:p w14:paraId="0402C8EE" w14:textId="167352F0" w:rsidR="00D656CB" w:rsidRDefault="00D656CB" w:rsidP="001223DE">
      <w:pPr>
        <w:pStyle w:val="NoSpacing"/>
        <w:numPr>
          <w:ilvl w:val="0"/>
          <w:numId w:val="14"/>
        </w:numPr>
      </w:pPr>
      <w:r>
        <w:t>“Sacred pole”</w:t>
      </w:r>
      <w:r w:rsidR="001223DE">
        <w:t xml:space="preserve">- </w:t>
      </w:r>
      <w:r w:rsidR="001223DE" w:rsidRPr="001223DE">
        <w:t>a cult symbol in honor of the goddess Asherah</w:t>
      </w:r>
    </w:p>
    <w:p w14:paraId="2ECF6A7D" w14:textId="478A2918" w:rsidR="001223DE" w:rsidRPr="001223DE" w:rsidRDefault="001223DE" w:rsidP="001223DE">
      <w:pPr>
        <w:pStyle w:val="NoSpacing"/>
        <w:rPr>
          <w:b/>
          <w:bCs/>
          <w:u w:val="single"/>
        </w:rPr>
      </w:pPr>
      <w:r w:rsidRPr="001223DE">
        <w:rPr>
          <w:b/>
          <w:bCs/>
          <w:u w:val="single"/>
        </w:rPr>
        <w:t>Meet the gods:</w:t>
      </w:r>
    </w:p>
    <w:p w14:paraId="7D8EC7DF" w14:textId="77777777" w:rsidR="001223DE" w:rsidRDefault="001223DE" w:rsidP="001223DE">
      <w:pPr>
        <w:pStyle w:val="NoSpacing"/>
        <w:numPr>
          <w:ilvl w:val="0"/>
          <w:numId w:val="15"/>
        </w:numPr>
      </w:pPr>
      <w:r w:rsidRPr="001223DE">
        <w:rPr>
          <w:b/>
          <w:bCs/>
          <w:i/>
          <w:iCs/>
        </w:rPr>
        <w:t>Baal</w:t>
      </w:r>
      <w:r w:rsidRPr="001223DE">
        <w:t xml:space="preserve"> is the classic Canaanite god of fertility, responsible for nature’s rebirth. </w:t>
      </w:r>
    </w:p>
    <w:p w14:paraId="62A26ECF" w14:textId="1035DDE8" w:rsidR="001223DE" w:rsidRDefault="001223DE" w:rsidP="001223DE">
      <w:pPr>
        <w:pStyle w:val="NoSpacing"/>
        <w:numPr>
          <w:ilvl w:val="0"/>
          <w:numId w:val="15"/>
        </w:numPr>
      </w:pPr>
      <w:r w:rsidRPr="001223DE">
        <w:rPr>
          <w:b/>
          <w:bCs/>
          <w:i/>
          <w:iCs/>
        </w:rPr>
        <w:t>Asherah</w:t>
      </w:r>
      <w:r w:rsidRPr="001223DE">
        <w:t xml:space="preserve"> is the mother goddess of the Canaanite pantheon and stands at El’s, Baal’s, or even YHWH’s side, presumably symbolized by some wooden object such as a stylized tree.</w:t>
      </w:r>
    </w:p>
    <w:p w14:paraId="259F629A" w14:textId="5671EB7B" w:rsidR="003373D8" w:rsidRPr="003373D8" w:rsidRDefault="003373D8" w:rsidP="00A53B58">
      <w:pPr>
        <w:pStyle w:val="NoSpacing"/>
        <w:rPr>
          <w:b/>
          <w:bCs/>
          <w:u w:val="single"/>
        </w:rPr>
      </w:pPr>
      <w:proofErr w:type="spellStart"/>
      <w:r w:rsidRPr="003373D8">
        <w:rPr>
          <w:b/>
          <w:bCs/>
          <w:u w:val="single"/>
        </w:rPr>
        <w:lastRenderedPageBreak/>
        <w:t>Heeeeeeeeere’s</w:t>
      </w:r>
      <w:proofErr w:type="spellEnd"/>
      <w:proofErr w:type="gramStart"/>
      <w:r w:rsidRPr="003373D8">
        <w:rPr>
          <w:b/>
          <w:bCs/>
          <w:u w:val="single"/>
        </w:rPr>
        <w:t>….ELIJAH</w:t>
      </w:r>
      <w:proofErr w:type="gramEnd"/>
      <w:r w:rsidRPr="003373D8">
        <w:rPr>
          <w:b/>
          <w:bCs/>
          <w:u w:val="single"/>
        </w:rPr>
        <w:t>! (Entering into the ring, from PARTS UNKNOWN)</w:t>
      </w:r>
    </w:p>
    <w:p w14:paraId="71149C5D" w14:textId="1C1F7684" w:rsidR="003373D8" w:rsidRPr="003373D8" w:rsidRDefault="003373D8" w:rsidP="003373D8">
      <w:pPr>
        <w:pStyle w:val="NoSpacing"/>
        <w:numPr>
          <w:ilvl w:val="0"/>
          <w:numId w:val="16"/>
        </w:numPr>
      </w:pPr>
      <w:r w:rsidRPr="003373D8">
        <w:rPr>
          <w:i/>
          <w:iCs/>
        </w:rPr>
        <w:t>Very interesting note from Paul House</w:t>
      </w:r>
      <w:r>
        <w:t xml:space="preserve">: “(Elijah) </w:t>
      </w:r>
      <w:r w:rsidRPr="003373D8">
        <w:t xml:space="preserve">barges into the story </w:t>
      </w:r>
      <w:r w:rsidRPr="003373D8">
        <w:rPr>
          <w:b/>
          <w:bCs/>
        </w:rPr>
        <w:t>unannounced</w:t>
      </w:r>
      <w:r w:rsidRPr="003373D8">
        <w:t xml:space="preserve">. He is an </w:t>
      </w:r>
      <w:r w:rsidRPr="003373D8">
        <w:rPr>
          <w:b/>
          <w:bCs/>
        </w:rPr>
        <w:t>unknown quantity</w:t>
      </w:r>
      <w:r w:rsidRPr="003373D8">
        <w:t xml:space="preserve"> from a town scholars can </w:t>
      </w:r>
      <w:r w:rsidRPr="003373D8">
        <w:rPr>
          <w:b/>
          <w:bCs/>
        </w:rPr>
        <w:t>no longer locate</w:t>
      </w:r>
      <w:r w:rsidRPr="003373D8">
        <w:t xml:space="preserve"> with </w:t>
      </w:r>
      <w:r w:rsidRPr="003373D8">
        <w:t>certainty. His</w:t>
      </w:r>
      <w:r w:rsidRPr="003373D8">
        <w:t xml:space="preserve"> name declares his theological mission, for it means “Yahweh is my God.”</w:t>
      </w:r>
    </w:p>
    <w:p w14:paraId="4843D1E2" w14:textId="77777777" w:rsidR="00346974" w:rsidRDefault="00346974" w:rsidP="00A53B58">
      <w:pPr>
        <w:pStyle w:val="NoSpacing"/>
        <w:rPr>
          <w:b/>
          <w:bCs/>
        </w:rPr>
      </w:pPr>
      <w:r w:rsidRPr="00346974">
        <w:rPr>
          <w:b/>
          <w:bCs/>
        </w:rPr>
        <w:t>Elijah (“The Troubler of Israel”) (18:17) and other Prophets Confront Ahab (1 Kings 16:29–22:53)</w:t>
      </w:r>
      <w:r w:rsidRPr="00346974">
        <w:rPr>
          <w:b/>
          <w:bCs/>
        </w:rPr>
        <w:t xml:space="preserve"> </w:t>
      </w:r>
    </w:p>
    <w:p w14:paraId="3F3A2286" w14:textId="2A6A3A1A" w:rsidR="00D656CB" w:rsidRDefault="00D656CB" w:rsidP="00A53B58">
      <w:pPr>
        <w:pStyle w:val="NoSpacing"/>
      </w:pPr>
      <w:r w:rsidRPr="001223DE">
        <w:rPr>
          <w:b/>
          <w:bCs/>
        </w:rPr>
        <w:t>“The Widow of Zarephath”-</w:t>
      </w:r>
      <w:r>
        <w:t xml:space="preserve"> echoes of Jesus’ feeding of the 5,000 where from little came a lot (abundance).</w:t>
      </w:r>
    </w:p>
    <w:p w14:paraId="11A8C9FE" w14:textId="535110EE" w:rsidR="00E94015" w:rsidRDefault="00E94015" w:rsidP="00A53B58">
      <w:pPr>
        <w:pStyle w:val="NoSpacing"/>
      </w:pPr>
      <w:r w:rsidRPr="001223DE">
        <w:rPr>
          <w:b/>
          <w:bCs/>
        </w:rPr>
        <w:t>Obadiah 18:3</w:t>
      </w:r>
      <w:r>
        <w:t>- in charge of the palace- “Revered” the Lord greatly</w:t>
      </w:r>
      <w:r w:rsidR="001223DE">
        <w:t>- “afraid/fear”</w:t>
      </w:r>
    </w:p>
    <w:p w14:paraId="0C5E9587" w14:textId="38B25618" w:rsidR="00E94015" w:rsidRPr="001223DE" w:rsidRDefault="00E94015" w:rsidP="00A53B58">
      <w:pPr>
        <w:pStyle w:val="NoSpacing"/>
        <w:rPr>
          <w:b/>
          <w:bCs/>
          <w:u w:val="single"/>
        </w:rPr>
      </w:pPr>
      <w:proofErr w:type="spellStart"/>
      <w:r w:rsidRPr="001223DE">
        <w:rPr>
          <w:b/>
          <w:bCs/>
          <w:u w:val="single"/>
        </w:rPr>
        <w:t>ProphetMania</w:t>
      </w:r>
      <w:proofErr w:type="spellEnd"/>
      <w:r w:rsidRPr="001223DE">
        <w:rPr>
          <w:b/>
          <w:bCs/>
          <w:u w:val="single"/>
        </w:rPr>
        <w:t>!</w:t>
      </w:r>
    </w:p>
    <w:p w14:paraId="79D9A12C" w14:textId="1803A6BD" w:rsidR="00E94015" w:rsidRDefault="00E94015" w:rsidP="00346974">
      <w:pPr>
        <w:pStyle w:val="NoSpacing"/>
        <w:numPr>
          <w:ilvl w:val="0"/>
          <w:numId w:val="16"/>
        </w:numPr>
      </w:pPr>
      <w:r>
        <w:t xml:space="preserve">Mount Carmel- </w:t>
      </w:r>
      <w:r w:rsidR="003373D8" w:rsidRPr="003373D8">
        <w:t>A range of hills and mountains</w:t>
      </w:r>
      <w:r w:rsidR="003373D8">
        <w:t xml:space="preserve">. </w:t>
      </w:r>
      <w:r w:rsidR="003373D8" w:rsidRPr="003373D8">
        <w:t xml:space="preserve">Carmel, a common noun, means </w:t>
      </w:r>
      <w:r w:rsidR="003373D8" w:rsidRPr="003373D8">
        <w:rPr>
          <w:b/>
          <w:bCs/>
          <w:i/>
          <w:iCs/>
        </w:rPr>
        <w:t>“garden,” “vineyard,” or “orchard”</w:t>
      </w:r>
      <w:r w:rsidR="003373D8" w:rsidRPr="003373D8">
        <w:t xml:space="preserve"> (Isa 10:18; 16:10; etc.). The name may reflect the fertility of Mt. Carmel’s slopes which catch the Mediterranean moisture in the westerly sea breezes.</w:t>
      </w:r>
    </w:p>
    <w:p w14:paraId="540721A1" w14:textId="02DF7CEE" w:rsidR="00E94015" w:rsidRDefault="00E94015" w:rsidP="00346974">
      <w:pPr>
        <w:pStyle w:val="NoSpacing"/>
        <w:numPr>
          <w:ilvl w:val="0"/>
          <w:numId w:val="16"/>
        </w:numPr>
      </w:pPr>
      <w:r>
        <w:t>Elijah vs. Ahab</w:t>
      </w:r>
      <w:r w:rsidR="003373D8">
        <w:t xml:space="preserve">’s Army: </w:t>
      </w:r>
      <w:r>
        <w:t>1 vs. 850</w:t>
      </w:r>
    </w:p>
    <w:p w14:paraId="164DDD1E" w14:textId="7E0CD7D0" w:rsidR="00E94015" w:rsidRDefault="00E94015" w:rsidP="00346974">
      <w:pPr>
        <w:pStyle w:val="NoSpacing"/>
        <w:numPr>
          <w:ilvl w:val="0"/>
          <w:numId w:val="16"/>
        </w:numPr>
      </w:pPr>
      <w:r w:rsidRPr="00E94015">
        <w:t xml:space="preserve">“How long will you go </w:t>
      </w:r>
      <w:r w:rsidRPr="003373D8">
        <w:rPr>
          <w:b/>
          <w:bCs/>
          <w:i/>
          <w:iCs/>
        </w:rPr>
        <w:t>limping</w:t>
      </w:r>
      <w:r w:rsidRPr="00E94015">
        <w:t xml:space="preserve"> with two different opinions? If the LORD is God, follow him; but if Baal, then follow him.”</w:t>
      </w:r>
      <w:r w:rsidR="003373D8">
        <w:t xml:space="preserve"> </w:t>
      </w:r>
    </w:p>
    <w:p w14:paraId="6DA90CF4" w14:textId="2A059090" w:rsidR="003373D8" w:rsidRPr="003373D8" w:rsidRDefault="003373D8" w:rsidP="00346974">
      <w:pPr>
        <w:pStyle w:val="NoSpacing"/>
        <w:numPr>
          <w:ilvl w:val="1"/>
          <w:numId w:val="16"/>
        </w:numPr>
      </w:pPr>
      <w:r w:rsidRPr="003373D8">
        <w:rPr>
          <w:b/>
          <w:bCs/>
        </w:rPr>
        <w:t>“Limping”-</w:t>
      </w:r>
      <w:r>
        <w:t xml:space="preserve"> </w:t>
      </w:r>
      <w:r w:rsidRPr="003373D8">
        <w:t>“</w:t>
      </w:r>
      <w:r>
        <w:t xml:space="preserve">to </w:t>
      </w:r>
      <w:r w:rsidRPr="003373D8">
        <w:t>waver”</w:t>
      </w:r>
      <w:r>
        <w:t xml:space="preserve"> </w:t>
      </w:r>
      <w:r w:rsidRPr="003373D8">
        <w:t>between two opinions—to decide who is God and then act on that decision.</w:t>
      </w:r>
      <w:r>
        <w:t xml:space="preserve"> (House)</w:t>
      </w:r>
    </w:p>
    <w:p w14:paraId="13894F36" w14:textId="6CD7AE28" w:rsidR="00E94015" w:rsidRPr="00346974" w:rsidRDefault="00E94015" w:rsidP="00346974">
      <w:pPr>
        <w:pStyle w:val="NoSpacing"/>
        <w:jc w:val="center"/>
        <w:rPr>
          <w:b/>
          <w:bCs/>
        </w:rPr>
      </w:pPr>
      <w:r w:rsidRPr="00346974">
        <w:rPr>
          <w:b/>
          <w:bCs/>
        </w:rPr>
        <w:t>REMEMBER: When God made a covenant, it was God who brought the fire.</w:t>
      </w:r>
    </w:p>
    <w:p w14:paraId="79BCC549" w14:textId="41BFB980" w:rsidR="00E94015" w:rsidRDefault="00E94015" w:rsidP="00A53B58">
      <w:pPr>
        <w:pStyle w:val="NoSpacing"/>
      </w:pPr>
      <w:r w:rsidRPr="00346974">
        <w:rPr>
          <w:b/>
          <w:bCs/>
        </w:rPr>
        <w:t>Prophet Trash Talk:</w:t>
      </w:r>
      <w:r>
        <w:t xml:space="preserve"> “Where is good ole Baal?! Maybe he’s praying, lost, sleeping?”</w:t>
      </w:r>
    </w:p>
    <w:p w14:paraId="1A1B6C6C" w14:textId="3147A910" w:rsidR="003373D8" w:rsidRDefault="003373D8" w:rsidP="00A53B58">
      <w:pPr>
        <w:pStyle w:val="NoSpacing"/>
      </w:pPr>
      <w:r w:rsidRPr="003373D8">
        <w:rPr>
          <w:rFonts w:ascii="Phosphate Inline" w:hAnsi="Phosphate Inline" w:cs="Phosphate Inline"/>
        </w:rPr>
        <w:t>DYK</w:t>
      </w:r>
      <w:r>
        <w:t>: “A</w:t>
      </w:r>
      <w:r w:rsidRPr="003373D8">
        <w:t>ncient Baal worshipers indeed did imply in their writings that not only could Baal die, but he also could go on a journey, fall asleep, or even resort to bloody self-mutilation.</w:t>
      </w:r>
      <w:r>
        <w:t>” (House)</w:t>
      </w:r>
    </w:p>
    <w:p w14:paraId="03595A5E" w14:textId="77777777" w:rsidR="003373D8" w:rsidRDefault="003373D8" w:rsidP="00A53B58">
      <w:pPr>
        <w:pStyle w:val="NoSpacing"/>
      </w:pPr>
      <w:r w:rsidRPr="003373D8">
        <w:rPr>
          <w:rFonts w:ascii="Phosphate Inline" w:hAnsi="Phosphate Inline" w:cs="Phosphate Inline"/>
        </w:rPr>
        <w:t>IMO</w:t>
      </w:r>
      <w:r>
        <w:t>: When God makes a covenant, it is God who provides the fire to make it official. Once again, it is God who brings the fire. This time to remind the people of who God is.</w:t>
      </w:r>
    </w:p>
    <w:p w14:paraId="396B760B" w14:textId="1BD89F53" w:rsidR="00927E97" w:rsidRPr="00346974" w:rsidRDefault="00927E97" w:rsidP="00346974">
      <w:pPr>
        <w:pStyle w:val="NoSpacing"/>
        <w:jc w:val="center"/>
        <w:rPr>
          <w:b/>
          <w:bCs/>
        </w:rPr>
      </w:pPr>
      <w:r w:rsidRPr="00346974">
        <w:rPr>
          <w:b/>
          <w:bCs/>
        </w:rPr>
        <w:t>First God brings fire, and now God brings rain (18:41-46)</w:t>
      </w:r>
    </w:p>
    <w:p w14:paraId="3BCCBAD2" w14:textId="661CF4E4" w:rsidR="00927E97" w:rsidRPr="00A82C25" w:rsidRDefault="00927E97" w:rsidP="00A53B58">
      <w:pPr>
        <w:pStyle w:val="NoSpacing"/>
      </w:pPr>
      <w:r w:rsidRPr="00A82C25">
        <w:rPr>
          <w:b/>
          <w:bCs/>
        </w:rPr>
        <w:t>Jezebel makes her threat</w:t>
      </w:r>
      <w:r w:rsidR="00A82C25">
        <w:rPr>
          <w:b/>
          <w:bCs/>
        </w:rPr>
        <w:t xml:space="preserve">- </w:t>
      </w:r>
      <w:r>
        <w:t xml:space="preserve">Elijah is so scared (strange that he was so confident when facing the prophets) that he runs and hides in Judah (The Southern Kingdom). </w:t>
      </w:r>
      <w:r w:rsidR="00A82C25">
        <w:t xml:space="preserve"> </w:t>
      </w:r>
      <w:r w:rsidR="00A82C25" w:rsidRPr="00A82C25">
        <w:rPr>
          <w:b/>
          <w:bCs/>
          <w:i/>
          <w:iCs/>
        </w:rPr>
        <w:t>Paul House writes</w:t>
      </w:r>
      <w:r w:rsidR="00A82C25">
        <w:t>: “</w:t>
      </w:r>
      <w:r w:rsidR="00A82C25" w:rsidRPr="00A82C25">
        <w:t>For whatever reason—fatigue, lack of faith, or a sense of resignation at the prospect of never having peace—Elijah flees. He fears death the way</w:t>
      </w:r>
      <w:r w:rsidR="00A82C25">
        <w:t xml:space="preserve">…and </w:t>
      </w:r>
      <w:r w:rsidR="00A82C25" w:rsidRPr="00A82C25">
        <w:t>interprets Jezebel’s personal attack on him as the end of his ministry.</w:t>
      </w:r>
      <w:r w:rsidR="00A82C25">
        <w:t xml:space="preserve"> </w:t>
      </w:r>
      <w:r w:rsidR="00A82C25" w:rsidRPr="00A82C25">
        <w:t xml:space="preserve">Indeed, the fact that he dismisses his servant in Beersheba, the </w:t>
      </w:r>
      <w:r w:rsidR="00A82C25" w:rsidRPr="00A82C25">
        <w:lastRenderedPageBreak/>
        <w:t>southernmost point in Judah, then goes a day’s journey farther may indicate he has given up his ministry altogether</w:t>
      </w:r>
      <w:r w:rsidR="00A82C25">
        <w:t>.”</w:t>
      </w:r>
    </w:p>
    <w:p w14:paraId="20B003C4" w14:textId="15B4ED54" w:rsidR="00927E97" w:rsidRPr="00A82C25" w:rsidRDefault="00927E97" w:rsidP="00A53B58">
      <w:pPr>
        <w:pStyle w:val="NoSpacing"/>
        <w:rPr>
          <w:b/>
          <w:bCs/>
        </w:rPr>
      </w:pPr>
      <w:r w:rsidRPr="00A82C25">
        <w:rPr>
          <w:b/>
          <w:bCs/>
        </w:rPr>
        <w:t>Even in the wilderness</w:t>
      </w:r>
      <w:r w:rsidR="00A82C25">
        <w:rPr>
          <w:b/>
          <w:bCs/>
        </w:rPr>
        <w:t>, GOD PROVIDES: shelter, food, water, an ear, encouragement, and reinforcements!</w:t>
      </w:r>
    </w:p>
    <w:p w14:paraId="3DE9368F" w14:textId="57B7EF82" w:rsidR="00A82C25" w:rsidRDefault="00927E97" w:rsidP="00A53B58">
      <w:pPr>
        <w:pStyle w:val="NoSpacing"/>
      </w:pPr>
      <w:r>
        <w:t>The Sounds of Sheer Silence (“crushed silence”)- 19:11-18</w:t>
      </w:r>
      <w:r w:rsidR="00A82C25">
        <w:t xml:space="preserve"> </w:t>
      </w:r>
      <w:r w:rsidR="00A82C25" w:rsidRPr="00A82C25">
        <w:rPr>
          <w:b/>
          <w:bCs/>
          <w:i/>
          <w:iCs/>
          <w:u w:val="single"/>
        </w:rPr>
        <w:t>Walter Dietrich with an amazing point</w:t>
      </w:r>
      <w:r w:rsidR="00A82C25">
        <w:t>: “</w:t>
      </w:r>
      <w:r w:rsidR="00A82C25" w:rsidRPr="00A82C25">
        <w:t xml:space="preserve">Elijah hopes to meet God on Mount Horeb. He does not </w:t>
      </w:r>
      <w:proofErr w:type="gramStart"/>
      <w:r w:rsidR="00A82C25" w:rsidRPr="00A82C25">
        <w:t>appear:</w:t>
      </w:r>
      <w:proofErr w:type="gramEnd"/>
      <w:r w:rsidR="00A82C25" w:rsidRPr="00A82C25">
        <w:t xml:space="preserve"> at least, not in impressive natural phenomena (which one would have connected with the weather god Baal) and not in demonstrations of violent power (as were sometimes cherished in religious arguments</w:t>
      </w:r>
      <w:r w:rsidR="00A82C25">
        <w:t>…</w:t>
      </w:r>
      <w:r w:rsidR="00A82C25" w:rsidRPr="00A82C25">
        <w:t xml:space="preserve">Elijah </w:t>
      </w:r>
      <w:r w:rsidR="00A82C25" w:rsidRPr="00A82C25">
        <w:rPr>
          <w:b/>
          <w:bCs/>
          <w:u w:val="single"/>
        </w:rPr>
        <w:t>encounters a completely different God</w:t>
      </w:r>
      <w:r w:rsidR="00A82C25" w:rsidRPr="00A82C25">
        <w:t xml:space="preserve"> on Mount Horeb. The description of his approach is extremely powerful and quietly beautiful. The image of God suggested here is in clear contrast to that of 1 Kings 18 and especially 2 Kings 10.</w:t>
      </w:r>
      <w:r w:rsidR="00A82C25">
        <w:t>”</w:t>
      </w:r>
    </w:p>
    <w:p w14:paraId="07A54ACD" w14:textId="73B10B81" w:rsidR="00927E97" w:rsidRDefault="00927E97" w:rsidP="00A53B58">
      <w:pPr>
        <w:pStyle w:val="NoSpacing"/>
      </w:pPr>
      <w:r w:rsidRPr="00C74CFB">
        <w:rPr>
          <w:b/>
          <w:bCs/>
        </w:rPr>
        <w:t>Ahab vs. Arameans</w:t>
      </w:r>
      <w:r w:rsidR="00A82C25" w:rsidRPr="00C74CFB">
        <w:rPr>
          <w:b/>
          <w:bCs/>
        </w:rPr>
        <w:t xml:space="preserve"> (Syria)</w:t>
      </w:r>
      <w:r>
        <w:t xml:space="preserve"> (King Ben-</w:t>
      </w:r>
      <w:proofErr w:type="spellStart"/>
      <w:r>
        <w:t>hada</w:t>
      </w:r>
      <w:proofErr w:type="spellEnd"/>
      <w:r>
        <w:t xml:space="preserve"> and his 23 </w:t>
      </w:r>
      <w:r w:rsidR="00A82C25" w:rsidRPr="00C74CFB">
        <w:rPr>
          <w:b/>
          <w:bCs/>
          <w:i/>
          <w:iCs/>
        </w:rPr>
        <w:t>Kings</w:t>
      </w:r>
      <w:r w:rsidR="00A82C25">
        <w:t xml:space="preserve"> (think of “city mayors”</w:t>
      </w:r>
      <w:r>
        <w:t>)</w:t>
      </w:r>
    </w:p>
    <w:p w14:paraId="57AD80BA" w14:textId="03F82296" w:rsidR="00927E97" w:rsidRDefault="00C74CFB" w:rsidP="00A53B58">
      <w:pPr>
        <w:pStyle w:val="NoSpacing"/>
      </w:pPr>
      <w:r w:rsidRPr="00C74CFB">
        <w:rPr>
          <w:b/>
          <w:bCs/>
        </w:rPr>
        <w:t>Sunday Morning QB</w:t>
      </w:r>
      <w:r>
        <w:t>: “</w:t>
      </w:r>
      <w:r w:rsidRPr="00C74CFB">
        <w:t>Israel wins the battle, though Ben-</w:t>
      </w:r>
      <w:proofErr w:type="spellStart"/>
      <w:r w:rsidRPr="00C74CFB">
        <w:t>Hadad</w:t>
      </w:r>
      <w:proofErr w:type="spellEnd"/>
      <w:r w:rsidRPr="00C74CFB">
        <w:t xml:space="preserve"> manages to escape. The story presents a contrast between the king </w:t>
      </w:r>
      <w:r w:rsidRPr="00C74CFB">
        <w:rPr>
          <w:u w:val="single"/>
        </w:rPr>
        <w:t>who has a word from God</w:t>
      </w:r>
      <w:r w:rsidRPr="00C74CFB">
        <w:t xml:space="preserve"> to direct his affairs and the king who depends on </w:t>
      </w:r>
      <w:r w:rsidRPr="00C74CFB">
        <w:rPr>
          <w:u w:val="single"/>
        </w:rPr>
        <w:t>wine for his courage</w:t>
      </w:r>
      <w:r w:rsidRPr="00C74CFB">
        <w:t xml:space="preserve"> (Eph 5:18). One king submits to the Lord’s messenger, while the other proudly believes he will conquer no matter what happens.</w:t>
      </w:r>
      <w:r>
        <w:t>” (House)</w:t>
      </w:r>
    </w:p>
    <w:p w14:paraId="2F57BCF8" w14:textId="368B1AC5" w:rsidR="00C74CFB" w:rsidRPr="00346974" w:rsidRDefault="00640E79" w:rsidP="00A53B58">
      <w:pPr>
        <w:pStyle w:val="NoSpacing"/>
        <w:rPr>
          <w:b/>
          <w:bCs/>
          <w:u w:val="single"/>
        </w:rPr>
      </w:pPr>
      <w:r w:rsidRPr="00346974">
        <w:rPr>
          <w:b/>
          <w:bCs/>
          <w:u w:val="single"/>
        </w:rPr>
        <w:t>Naboth</w:t>
      </w:r>
      <w:r w:rsidR="00C74CFB" w:rsidRPr="00346974">
        <w:rPr>
          <w:b/>
          <w:bCs/>
          <w:u w:val="single"/>
        </w:rPr>
        <w:t>’s Vineyard:</w:t>
      </w:r>
      <w:r w:rsidR="00346974">
        <w:rPr>
          <w:b/>
          <w:bCs/>
          <w:u w:val="single"/>
        </w:rPr>
        <w:tab/>
      </w:r>
      <w:r w:rsidR="00C74CFB" w:rsidRPr="00C74CFB">
        <w:rPr>
          <w:b/>
          <w:bCs/>
        </w:rPr>
        <w:t>What does this story point out about Ahab?</w:t>
      </w:r>
      <w:r w:rsidR="00C74CFB">
        <w:t xml:space="preserve"> “</w:t>
      </w:r>
      <w:r w:rsidR="00C74CFB" w:rsidRPr="00C74CFB">
        <w:t xml:space="preserve">Of all Ahab’s failings </w:t>
      </w:r>
      <w:r w:rsidR="00C74CFB" w:rsidRPr="00C74CFB">
        <w:rPr>
          <w:u w:val="single"/>
        </w:rPr>
        <w:t>the text has never accused him of oppression or brutality against his people</w:t>
      </w:r>
      <w:r w:rsidR="00C74CFB" w:rsidRPr="00C74CFB">
        <w:t xml:space="preserve">. But here the king proves himself to have even less character than was demonstrated previously, and </w:t>
      </w:r>
      <w:r w:rsidR="00C74CFB">
        <w:t>(Jezebel)</w:t>
      </w:r>
      <w:r w:rsidR="00C74CFB" w:rsidRPr="00C74CFB">
        <w:t xml:space="preserve"> is the catalyst for this decline.</w:t>
      </w:r>
      <w:r w:rsidR="00C74CFB">
        <w:t>” (House)</w:t>
      </w:r>
    </w:p>
    <w:p w14:paraId="4FC8222F" w14:textId="5C98E080" w:rsidR="00C74CFB" w:rsidRDefault="00C74CFB" w:rsidP="00A53B58">
      <w:pPr>
        <w:pStyle w:val="NoSpacing"/>
      </w:pPr>
      <w:r w:rsidRPr="00C74CFB">
        <w:rPr>
          <w:b/>
          <w:bCs/>
        </w:rPr>
        <w:t>Israel and Judah united?!</w:t>
      </w:r>
      <w:r>
        <w:t xml:space="preserve"> “</w:t>
      </w:r>
      <w:r w:rsidRPr="00C74CFB">
        <w:t xml:space="preserve">The sister states were closely tied at the time of </w:t>
      </w:r>
      <w:proofErr w:type="spellStart"/>
      <w:r w:rsidRPr="00C74CFB">
        <w:t>Omri’s</w:t>
      </w:r>
      <w:proofErr w:type="spellEnd"/>
      <w:r w:rsidRPr="00C74CFB">
        <w:t xml:space="preserve"> dynasty and remained so until after the uprisings of Jehu and </w:t>
      </w:r>
      <w:proofErr w:type="spellStart"/>
      <w:r w:rsidRPr="00C74CFB">
        <w:t>Joash</w:t>
      </w:r>
      <w:proofErr w:type="spellEnd"/>
      <w:r w:rsidRPr="00C74CFB">
        <w:t xml:space="preserve"> (2 Kings 9–11). </w:t>
      </w:r>
      <w:proofErr w:type="gramStart"/>
      <w:r w:rsidRPr="00C74CFB">
        <w:t>So</w:t>
      </w:r>
      <w:proofErr w:type="gramEnd"/>
      <w:r w:rsidRPr="00C74CFB">
        <w:t xml:space="preserve"> the editors entered the appropriate names, Ahab and Jehoshaphat.</w:t>
      </w:r>
      <w:r>
        <w:t>” (Dietrich)</w:t>
      </w:r>
    </w:p>
    <w:p w14:paraId="0869D101" w14:textId="3FF1A2D6" w:rsidR="00D66D60" w:rsidRPr="00C74CFB" w:rsidRDefault="00D66D60" w:rsidP="00A53B58">
      <w:pPr>
        <w:pStyle w:val="NoSpacing"/>
        <w:rPr>
          <w:b/>
          <w:bCs/>
        </w:rPr>
      </w:pPr>
      <w:r w:rsidRPr="00C74CFB">
        <w:rPr>
          <w:b/>
          <w:bCs/>
        </w:rPr>
        <w:t xml:space="preserve">Hooray for </w:t>
      </w:r>
      <w:proofErr w:type="spellStart"/>
      <w:r w:rsidRPr="00C74CFB">
        <w:rPr>
          <w:b/>
          <w:bCs/>
        </w:rPr>
        <w:t>Jehosophat</w:t>
      </w:r>
      <w:proofErr w:type="spellEnd"/>
      <w:r w:rsidRPr="00C74CFB">
        <w:rPr>
          <w:b/>
          <w:bCs/>
        </w:rPr>
        <w:t>!</w:t>
      </w:r>
      <w:r w:rsidR="006759A6">
        <w:rPr>
          <w:b/>
          <w:bCs/>
        </w:rPr>
        <w:t xml:space="preserve"> </w:t>
      </w:r>
      <w:r w:rsidR="006759A6" w:rsidRPr="006759A6">
        <w:t>Jehoshaphat receives the same sort of favorable evaluation that his father</w:t>
      </w:r>
      <w:r w:rsidR="006759A6">
        <w:t xml:space="preserve">, Asa, </w:t>
      </w:r>
      <w:r w:rsidR="006759A6" w:rsidRPr="006759A6">
        <w:t xml:space="preserve">does. Like his father, </w:t>
      </w:r>
      <w:r w:rsidR="006759A6" w:rsidRPr="006759A6">
        <w:rPr>
          <w:u w:val="single"/>
        </w:rPr>
        <w:t>he follows the Lord</w:t>
      </w:r>
      <w:r w:rsidR="006759A6" w:rsidRPr="006759A6">
        <w:t>, his only defect being his allowing the high places to remain in place.</w:t>
      </w:r>
    </w:p>
    <w:p w14:paraId="283C9CAA" w14:textId="77777777" w:rsidR="00D500C2" w:rsidRDefault="00D500C2" w:rsidP="00346974">
      <w:pPr>
        <w:pStyle w:val="NoSpacing"/>
        <w:jc w:val="center"/>
        <w:rPr>
          <w:b/>
          <w:bCs/>
          <w:sz w:val="20"/>
          <w:szCs w:val="20"/>
          <w:u w:val="single"/>
        </w:rPr>
        <w:sectPr w:rsidR="00D500C2" w:rsidSect="0022533A">
          <w:headerReference w:type="default" r:id="rId7"/>
          <w:pgSz w:w="12240" w:h="15840"/>
          <w:pgMar w:top="1440" w:right="1440" w:bottom="1440" w:left="1440" w:header="720" w:footer="720" w:gutter="0"/>
          <w:cols w:space="720"/>
          <w:docGrid w:linePitch="360"/>
        </w:sectPr>
      </w:pPr>
    </w:p>
    <w:p w14:paraId="3D292184" w14:textId="5F9EA121" w:rsidR="00CE21BD" w:rsidRPr="00346974" w:rsidRDefault="00CE21BD" w:rsidP="00346974">
      <w:pPr>
        <w:pStyle w:val="NoSpacing"/>
        <w:jc w:val="center"/>
        <w:rPr>
          <w:sz w:val="20"/>
          <w:szCs w:val="20"/>
        </w:rPr>
      </w:pPr>
      <w:r w:rsidRPr="00346974">
        <w:rPr>
          <w:b/>
          <w:bCs/>
          <w:sz w:val="20"/>
          <w:szCs w:val="20"/>
          <w:u w:val="single"/>
        </w:rPr>
        <w:t>SOURCES</w:t>
      </w:r>
      <w:r w:rsidRPr="00346974">
        <w:rPr>
          <w:sz w:val="20"/>
          <w:szCs w:val="20"/>
        </w:rPr>
        <w:t>:</w:t>
      </w:r>
    </w:p>
    <w:p w14:paraId="67D7D486" w14:textId="76155CCD" w:rsidR="00CE21BD" w:rsidRPr="00346974" w:rsidRDefault="00CE21BD" w:rsidP="006759A6">
      <w:pPr>
        <w:pStyle w:val="NoSpacing"/>
        <w:jc w:val="center"/>
        <w:rPr>
          <w:sz w:val="20"/>
          <w:szCs w:val="20"/>
        </w:rPr>
      </w:pPr>
      <w:r w:rsidRPr="00346974">
        <w:rPr>
          <w:sz w:val="20"/>
          <w:szCs w:val="20"/>
        </w:rPr>
        <w:t xml:space="preserve">Duane L. Christensen (Anchor Bible </w:t>
      </w:r>
      <w:r w:rsidR="00826042" w:rsidRPr="00346974">
        <w:rPr>
          <w:sz w:val="20"/>
          <w:szCs w:val="20"/>
        </w:rPr>
        <w:t>Dictionary</w:t>
      </w:r>
      <w:r w:rsidRPr="00346974">
        <w:rPr>
          <w:sz w:val="20"/>
          <w:szCs w:val="20"/>
        </w:rPr>
        <w:t>)</w:t>
      </w:r>
    </w:p>
    <w:p w14:paraId="556457FF" w14:textId="1F0988AB" w:rsidR="00CE21BD" w:rsidRPr="00346974" w:rsidRDefault="00826042" w:rsidP="006759A6">
      <w:pPr>
        <w:pStyle w:val="NoSpacing"/>
        <w:jc w:val="center"/>
        <w:rPr>
          <w:sz w:val="20"/>
          <w:szCs w:val="20"/>
        </w:rPr>
      </w:pPr>
      <w:r w:rsidRPr="00346974">
        <w:rPr>
          <w:sz w:val="20"/>
          <w:szCs w:val="20"/>
        </w:rPr>
        <w:t>Gordon Matties (CEB Study Bible)</w:t>
      </w:r>
    </w:p>
    <w:p w14:paraId="3E21CE38" w14:textId="7FA4C855" w:rsidR="00FB1265" w:rsidRPr="00346974" w:rsidRDefault="00FB1265" w:rsidP="006759A6">
      <w:pPr>
        <w:pStyle w:val="NoSpacing"/>
        <w:jc w:val="center"/>
        <w:rPr>
          <w:sz w:val="20"/>
          <w:szCs w:val="20"/>
        </w:rPr>
      </w:pPr>
      <w:r w:rsidRPr="00346974">
        <w:rPr>
          <w:sz w:val="20"/>
          <w:szCs w:val="20"/>
        </w:rPr>
        <w:t xml:space="preserve">Mark </w:t>
      </w:r>
      <w:proofErr w:type="spellStart"/>
      <w:r w:rsidRPr="00346974">
        <w:rPr>
          <w:sz w:val="20"/>
          <w:szCs w:val="20"/>
        </w:rPr>
        <w:t>Throntveit</w:t>
      </w:r>
      <w:proofErr w:type="spellEnd"/>
      <w:r w:rsidRPr="00346974">
        <w:rPr>
          <w:sz w:val="20"/>
          <w:szCs w:val="20"/>
        </w:rPr>
        <w:t xml:space="preserve"> (Enter </w:t>
      </w:r>
      <w:proofErr w:type="gramStart"/>
      <w:r w:rsidRPr="00346974">
        <w:rPr>
          <w:sz w:val="20"/>
          <w:szCs w:val="20"/>
        </w:rPr>
        <w:t>The</w:t>
      </w:r>
      <w:proofErr w:type="gramEnd"/>
      <w:r w:rsidRPr="00346974">
        <w:rPr>
          <w:sz w:val="20"/>
          <w:szCs w:val="20"/>
        </w:rPr>
        <w:t xml:space="preserve"> Bible)</w:t>
      </w:r>
    </w:p>
    <w:p w14:paraId="116C1750" w14:textId="77777777" w:rsidR="00D500C2" w:rsidRDefault="00D500C2" w:rsidP="006759A6">
      <w:pPr>
        <w:pStyle w:val="NoSpacing"/>
        <w:jc w:val="center"/>
        <w:rPr>
          <w:sz w:val="20"/>
          <w:szCs w:val="20"/>
        </w:rPr>
      </w:pPr>
    </w:p>
    <w:p w14:paraId="5A788B4B" w14:textId="5BCAE2CF" w:rsidR="00FB1265" w:rsidRPr="00346974" w:rsidRDefault="00FB1265" w:rsidP="006759A6">
      <w:pPr>
        <w:pStyle w:val="NoSpacing"/>
        <w:jc w:val="center"/>
        <w:rPr>
          <w:sz w:val="20"/>
          <w:szCs w:val="20"/>
        </w:rPr>
      </w:pPr>
      <w:r w:rsidRPr="00346974">
        <w:rPr>
          <w:sz w:val="20"/>
          <w:szCs w:val="20"/>
        </w:rPr>
        <w:t>Ralph W. Klein (Lutheran Study Bible)</w:t>
      </w:r>
    </w:p>
    <w:p w14:paraId="2A4D2B17" w14:textId="7A0C2EFD" w:rsidR="001223DE" w:rsidRPr="00346974" w:rsidRDefault="001223DE" w:rsidP="006759A6">
      <w:pPr>
        <w:pStyle w:val="NoSpacing"/>
        <w:jc w:val="center"/>
        <w:rPr>
          <w:sz w:val="20"/>
          <w:szCs w:val="20"/>
        </w:rPr>
      </w:pPr>
      <w:r w:rsidRPr="00346974">
        <w:rPr>
          <w:sz w:val="20"/>
          <w:szCs w:val="20"/>
        </w:rPr>
        <w:t>Walter Dietrich (Oxford Bible Commentary)</w:t>
      </w:r>
    </w:p>
    <w:p w14:paraId="702DC31E" w14:textId="1ABD3695" w:rsidR="003373D8" w:rsidRPr="00346974" w:rsidRDefault="003373D8" w:rsidP="006759A6">
      <w:pPr>
        <w:pStyle w:val="NoSpacing"/>
        <w:jc w:val="center"/>
        <w:rPr>
          <w:sz w:val="20"/>
          <w:szCs w:val="20"/>
        </w:rPr>
      </w:pPr>
      <w:r w:rsidRPr="00346974">
        <w:rPr>
          <w:sz w:val="20"/>
          <w:szCs w:val="20"/>
        </w:rPr>
        <w:t>Paul House (New American Commentary)</w:t>
      </w:r>
    </w:p>
    <w:p w14:paraId="3852F149" w14:textId="77777777" w:rsidR="00D500C2" w:rsidRDefault="00D500C2" w:rsidP="00CE21BD">
      <w:pPr>
        <w:pStyle w:val="NoSpacing"/>
        <w:sectPr w:rsidR="00D500C2" w:rsidSect="00D500C2">
          <w:type w:val="continuous"/>
          <w:pgSz w:w="12240" w:h="15840"/>
          <w:pgMar w:top="1440" w:right="1440" w:bottom="1440" w:left="1440" w:header="720" w:footer="720" w:gutter="0"/>
          <w:cols w:num="2" w:space="720"/>
          <w:docGrid w:linePitch="360"/>
        </w:sectPr>
      </w:pPr>
    </w:p>
    <w:p w14:paraId="0BDAA501" w14:textId="77777777" w:rsidR="00826042" w:rsidRPr="00CE21BD" w:rsidRDefault="00826042" w:rsidP="00CE21BD">
      <w:pPr>
        <w:pStyle w:val="NoSpacing"/>
      </w:pPr>
    </w:p>
    <w:sectPr w:rsidR="00826042" w:rsidRPr="00CE21BD" w:rsidSect="00D500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CC050" w14:textId="77777777" w:rsidR="00620709" w:rsidRDefault="00620709" w:rsidP="00323BD0">
      <w:pPr>
        <w:spacing w:before="0" w:after="0" w:line="240" w:lineRule="auto"/>
      </w:pPr>
      <w:r>
        <w:separator/>
      </w:r>
    </w:p>
  </w:endnote>
  <w:endnote w:type="continuationSeparator" w:id="0">
    <w:p w14:paraId="3F211C26" w14:textId="77777777" w:rsidR="00620709" w:rsidRDefault="00620709" w:rsidP="00323B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hosphate Inline">
    <w:altName w:val="PHOSPHATE INLINE"/>
    <w:panose1 w:val="02000506050000020004"/>
    <w:charset w:val="4D"/>
    <w:family w:val="auto"/>
    <w:pitch w:val="variable"/>
    <w:sig w:usb0="A00000EF" w:usb1="5000204B" w:usb2="00000040" w:usb3="00000000" w:csb0="00000193"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EC9CD" w14:textId="77777777" w:rsidR="00620709" w:rsidRDefault="00620709" w:rsidP="00323BD0">
      <w:pPr>
        <w:spacing w:before="0" w:after="0" w:line="240" w:lineRule="auto"/>
      </w:pPr>
      <w:r>
        <w:separator/>
      </w:r>
    </w:p>
  </w:footnote>
  <w:footnote w:type="continuationSeparator" w:id="0">
    <w:p w14:paraId="37134842" w14:textId="77777777" w:rsidR="00620709" w:rsidRDefault="00620709" w:rsidP="00323B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4D23" w14:textId="21C977D7" w:rsidR="00323BD0" w:rsidRPr="00C00C91" w:rsidRDefault="00D2729B" w:rsidP="00323BD0">
    <w:pPr>
      <w:jc w:val="center"/>
      <w:rPr>
        <w:rFonts w:ascii="Algerian" w:hAnsi="Algerian"/>
        <w:sz w:val="36"/>
        <w:szCs w:val="36"/>
      </w:rPr>
    </w:pPr>
    <w:r>
      <w:rPr>
        <w:rFonts w:ascii="Algerian" w:hAnsi="Algerian"/>
        <w:sz w:val="72"/>
        <w:szCs w:val="72"/>
      </w:rPr>
      <w:t>1 kings</w:t>
    </w:r>
    <w:r w:rsidR="0078292C">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D164A"/>
    <w:multiLevelType w:val="hybridMultilevel"/>
    <w:tmpl w:val="70D8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F2969"/>
    <w:multiLevelType w:val="hybridMultilevel"/>
    <w:tmpl w:val="A894B16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91D79"/>
    <w:multiLevelType w:val="hybridMultilevel"/>
    <w:tmpl w:val="AC48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655C4"/>
    <w:multiLevelType w:val="hybridMultilevel"/>
    <w:tmpl w:val="15D8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351BE"/>
    <w:multiLevelType w:val="hybridMultilevel"/>
    <w:tmpl w:val="0A20B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B1EE7"/>
    <w:multiLevelType w:val="hybridMultilevel"/>
    <w:tmpl w:val="513830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6C04"/>
    <w:multiLevelType w:val="hybridMultilevel"/>
    <w:tmpl w:val="5BCE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A4D3E"/>
    <w:multiLevelType w:val="hybridMultilevel"/>
    <w:tmpl w:val="251C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B594C"/>
    <w:multiLevelType w:val="hybridMultilevel"/>
    <w:tmpl w:val="F71C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B7949"/>
    <w:multiLevelType w:val="hybridMultilevel"/>
    <w:tmpl w:val="9580DE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F3169"/>
    <w:multiLevelType w:val="hybridMultilevel"/>
    <w:tmpl w:val="6980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A6FD1"/>
    <w:multiLevelType w:val="hybridMultilevel"/>
    <w:tmpl w:val="D2083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9643B"/>
    <w:multiLevelType w:val="hybridMultilevel"/>
    <w:tmpl w:val="2F3EB32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A27668"/>
    <w:multiLevelType w:val="hybridMultilevel"/>
    <w:tmpl w:val="4A9A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259F3"/>
    <w:multiLevelType w:val="hybridMultilevel"/>
    <w:tmpl w:val="107A7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6124F"/>
    <w:multiLevelType w:val="hybridMultilevel"/>
    <w:tmpl w:val="3E3851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4B0AE2"/>
    <w:multiLevelType w:val="hybridMultilevel"/>
    <w:tmpl w:val="67F0F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71582C"/>
    <w:multiLevelType w:val="hybridMultilevel"/>
    <w:tmpl w:val="AB7E9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606409">
    <w:abstractNumId w:val="9"/>
  </w:num>
  <w:num w:numId="2" w16cid:durableId="484978683">
    <w:abstractNumId w:val="16"/>
  </w:num>
  <w:num w:numId="3" w16cid:durableId="1070612176">
    <w:abstractNumId w:val="15"/>
  </w:num>
  <w:num w:numId="4" w16cid:durableId="652879960">
    <w:abstractNumId w:val="0"/>
  </w:num>
  <w:num w:numId="5" w16cid:durableId="997540911">
    <w:abstractNumId w:val="3"/>
  </w:num>
  <w:num w:numId="6" w16cid:durableId="1057246852">
    <w:abstractNumId w:val="14"/>
  </w:num>
  <w:num w:numId="7" w16cid:durableId="158732939">
    <w:abstractNumId w:val="12"/>
  </w:num>
  <w:num w:numId="8" w16cid:durableId="81534418">
    <w:abstractNumId w:val="7"/>
  </w:num>
  <w:num w:numId="9" w16cid:durableId="676808376">
    <w:abstractNumId w:val="11"/>
  </w:num>
  <w:num w:numId="10" w16cid:durableId="128938196">
    <w:abstractNumId w:val="10"/>
  </w:num>
  <w:num w:numId="11" w16cid:durableId="1149327236">
    <w:abstractNumId w:val="5"/>
  </w:num>
  <w:num w:numId="12" w16cid:durableId="395009123">
    <w:abstractNumId w:val="1"/>
  </w:num>
  <w:num w:numId="13" w16cid:durableId="922834356">
    <w:abstractNumId w:val="6"/>
  </w:num>
  <w:num w:numId="14" w16cid:durableId="497355195">
    <w:abstractNumId w:val="17"/>
  </w:num>
  <w:num w:numId="15" w16cid:durableId="1585186702">
    <w:abstractNumId w:val="2"/>
  </w:num>
  <w:num w:numId="16" w16cid:durableId="1252549295">
    <w:abstractNumId w:val="4"/>
  </w:num>
  <w:num w:numId="17" w16cid:durableId="1754471416">
    <w:abstractNumId w:val="8"/>
  </w:num>
  <w:num w:numId="18" w16cid:durableId="17067545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D60"/>
    <w:rsid w:val="000604AE"/>
    <w:rsid w:val="000B7FF2"/>
    <w:rsid w:val="000C0990"/>
    <w:rsid w:val="001223DE"/>
    <w:rsid w:val="00175171"/>
    <w:rsid w:val="00175F3F"/>
    <w:rsid w:val="00181912"/>
    <w:rsid w:val="001B2C2A"/>
    <w:rsid w:val="001F345E"/>
    <w:rsid w:val="0022533A"/>
    <w:rsid w:val="002D1CB7"/>
    <w:rsid w:val="002D4693"/>
    <w:rsid w:val="00323BD0"/>
    <w:rsid w:val="0032732A"/>
    <w:rsid w:val="003373D8"/>
    <w:rsid w:val="00346974"/>
    <w:rsid w:val="00346A3D"/>
    <w:rsid w:val="00386312"/>
    <w:rsid w:val="003F26A0"/>
    <w:rsid w:val="00452EF2"/>
    <w:rsid w:val="00513B9F"/>
    <w:rsid w:val="00530B85"/>
    <w:rsid w:val="00576E9A"/>
    <w:rsid w:val="005B0621"/>
    <w:rsid w:val="005E0770"/>
    <w:rsid w:val="00620709"/>
    <w:rsid w:val="00621BFF"/>
    <w:rsid w:val="00640E79"/>
    <w:rsid w:val="00643C39"/>
    <w:rsid w:val="00662E2A"/>
    <w:rsid w:val="006759A6"/>
    <w:rsid w:val="00772C3F"/>
    <w:rsid w:val="0078292C"/>
    <w:rsid w:val="007E4568"/>
    <w:rsid w:val="00826042"/>
    <w:rsid w:val="00843FFB"/>
    <w:rsid w:val="008A4121"/>
    <w:rsid w:val="00927E97"/>
    <w:rsid w:val="00977773"/>
    <w:rsid w:val="00A05311"/>
    <w:rsid w:val="00A53B58"/>
    <w:rsid w:val="00A654A2"/>
    <w:rsid w:val="00A74129"/>
    <w:rsid w:val="00A82C25"/>
    <w:rsid w:val="00AC615A"/>
    <w:rsid w:val="00B24D60"/>
    <w:rsid w:val="00B47072"/>
    <w:rsid w:val="00B70226"/>
    <w:rsid w:val="00C00C91"/>
    <w:rsid w:val="00C74CFB"/>
    <w:rsid w:val="00C8168E"/>
    <w:rsid w:val="00CE21BD"/>
    <w:rsid w:val="00D01329"/>
    <w:rsid w:val="00D2317E"/>
    <w:rsid w:val="00D2729B"/>
    <w:rsid w:val="00D500C2"/>
    <w:rsid w:val="00D63E95"/>
    <w:rsid w:val="00D656CB"/>
    <w:rsid w:val="00D66D60"/>
    <w:rsid w:val="00D74601"/>
    <w:rsid w:val="00E84668"/>
    <w:rsid w:val="00E913B9"/>
    <w:rsid w:val="00E94015"/>
    <w:rsid w:val="00EA5BFD"/>
    <w:rsid w:val="00EF28E0"/>
    <w:rsid w:val="00EF5C54"/>
    <w:rsid w:val="00F03001"/>
    <w:rsid w:val="00F41029"/>
    <w:rsid w:val="00F82EBC"/>
    <w:rsid w:val="00F84341"/>
    <w:rsid w:val="00FB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734F"/>
  <w15:docId w15:val="{4D837C7E-ACCF-0545-9DB7-4830D681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BD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3BD0"/>
  </w:style>
  <w:style w:type="paragraph" w:styleId="Footer">
    <w:name w:val="footer"/>
    <w:basedOn w:val="Normal"/>
    <w:link w:val="FooterChar"/>
    <w:uiPriority w:val="99"/>
    <w:unhideWhenUsed/>
    <w:rsid w:val="00323BD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23BD0"/>
  </w:style>
  <w:style w:type="paragraph" w:styleId="ListParagraph">
    <w:name w:val="List Paragraph"/>
    <w:basedOn w:val="Normal"/>
    <w:uiPriority w:val="34"/>
    <w:qFormat/>
    <w:rsid w:val="00621BFF"/>
    <w:pPr>
      <w:ind w:left="720"/>
      <w:contextualSpacing/>
    </w:pPr>
  </w:style>
  <w:style w:type="paragraph" w:styleId="NoSpacing">
    <w:name w:val="No Spacing"/>
    <w:uiPriority w:val="1"/>
    <w:qFormat/>
    <w:rsid w:val="00CE21BD"/>
    <w:pPr>
      <w:spacing w:before="0" w:after="0" w:line="240" w:lineRule="auto"/>
    </w:pPr>
  </w:style>
  <w:style w:type="table" w:styleId="TableGrid">
    <w:name w:val="Table Grid"/>
    <w:basedOn w:val="TableNormal"/>
    <w:uiPriority w:val="59"/>
    <w:rsid w:val="00662E2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1265"/>
    <w:rPr>
      <w:color w:val="0000FF" w:themeColor="hyperlink"/>
      <w:u w:val="single"/>
    </w:rPr>
  </w:style>
  <w:style w:type="character" w:styleId="UnresolvedMention">
    <w:name w:val="Unresolved Mention"/>
    <w:basedOn w:val="DefaultParagraphFont"/>
    <w:uiPriority w:val="99"/>
    <w:semiHidden/>
    <w:unhideWhenUsed/>
    <w:rsid w:val="00FB1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6</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16</cp:revision>
  <dcterms:created xsi:type="dcterms:W3CDTF">2012-09-11T15:03:00Z</dcterms:created>
  <dcterms:modified xsi:type="dcterms:W3CDTF">2023-05-26T19:08:00Z</dcterms:modified>
</cp:coreProperties>
</file>